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CE5A0">
      <w:pPr>
        <w:widowControl/>
        <w:spacing w:line="560" w:lineRule="exact"/>
        <w:ind w:firstLine="640" w:firstLineChars="200"/>
        <w:rPr>
          <w:rFonts w:hint="eastAsia" w:ascii="仿宋_GB2312" w:hAnsi="仿宋_GB2312" w:eastAsia="仿宋_GB2312" w:cs="仿宋_GB2312"/>
          <w:vanish/>
          <w:color w:val="auto"/>
          <w:kern w:val="0"/>
          <w:sz w:val="32"/>
          <w:szCs w:val="32"/>
          <w:lang w:val="en-US" w:eastAsia="zh-CN"/>
        </w:rPr>
      </w:pPr>
      <w:r>
        <w:rPr>
          <w:rFonts w:hint="eastAsia" w:ascii="仿宋_GB2312" w:hAnsi="仿宋_GB2312" w:eastAsia="仿宋_GB2312" w:cs="仿宋_GB2312"/>
          <w:vanish/>
          <w:color w:val="auto"/>
          <w:kern w:val="0"/>
          <w:sz w:val="32"/>
          <w:szCs w:val="32"/>
          <w:lang w:val="en-US" w:eastAsia="zh-CN"/>
        </w:rPr>
        <w:t xml:space="preserve"> </w:t>
      </w:r>
    </w:p>
    <w:p w14:paraId="7671DCF3">
      <w:pPr>
        <w:spacing w:line="560" w:lineRule="exact"/>
        <w:ind w:firstLine="880"/>
        <w:rPr>
          <w:rFonts w:hint="eastAsia" w:ascii="方正小标宋简体" w:hAnsi="方正小标宋简体" w:eastAsia="方正小标宋简体" w:cs="方正小标宋简体"/>
          <w:color w:val="auto"/>
          <w:kern w:val="0"/>
          <w:sz w:val="44"/>
          <w:szCs w:val="44"/>
        </w:rPr>
      </w:pPr>
    </w:p>
    <w:p w14:paraId="036CEC33">
      <w:pPr>
        <w:spacing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泰山学院</w:t>
      </w:r>
      <w:r>
        <w:rPr>
          <w:rFonts w:hint="eastAsia" w:ascii="方正小标宋简体" w:hAnsi="方正小标宋简体" w:eastAsia="方正小标宋简体" w:cs="方正小标宋简体"/>
          <w:color w:val="auto"/>
          <w:kern w:val="0"/>
          <w:sz w:val="44"/>
          <w:szCs w:val="44"/>
          <w:lang w:eastAsia="zh-CN"/>
        </w:rPr>
        <w:t>2026</w:t>
      </w:r>
      <w:r>
        <w:rPr>
          <w:rFonts w:hint="eastAsia" w:ascii="方正小标宋简体" w:hAnsi="方正小标宋简体" w:eastAsia="方正小标宋简体" w:cs="方正小标宋简体"/>
          <w:color w:val="auto"/>
          <w:kern w:val="0"/>
          <w:sz w:val="44"/>
          <w:szCs w:val="44"/>
        </w:rPr>
        <w:t>年专升本</w:t>
      </w:r>
      <w:r>
        <w:rPr>
          <w:rFonts w:hint="eastAsia" w:ascii="方正小标宋简体" w:hAnsi="方正小标宋简体" w:eastAsia="方正小标宋简体" w:cs="方正小标宋简体"/>
          <w:color w:val="auto"/>
          <w:kern w:val="0"/>
          <w:sz w:val="44"/>
          <w:szCs w:val="44"/>
          <w:lang w:val="en-US" w:eastAsia="zh-CN"/>
        </w:rPr>
        <w:t>自荐生</w:t>
      </w:r>
      <w:r>
        <w:rPr>
          <w:rFonts w:hint="eastAsia" w:ascii="方正小标宋简体" w:hAnsi="方正小标宋简体" w:eastAsia="方正小标宋简体" w:cs="方正小标宋简体"/>
          <w:color w:val="auto"/>
          <w:kern w:val="0"/>
          <w:sz w:val="44"/>
          <w:szCs w:val="44"/>
        </w:rPr>
        <w:t>专业综合能力测试实施方案</w:t>
      </w:r>
    </w:p>
    <w:p w14:paraId="04AE0027">
      <w:pPr>
        <w:spacing w:line="560" w:lineRule="exact"/>
        <w:ind w:firstLine="640" w:firstLineChars="200"/>
        <w:rPr>
          <w:rFonts w:hint="eastAsia" w:ascii="仿宋_GB2312" w:hAnsi="仿宋_GB2312" w:eastAsia="仿宋_GB2312" w:cs="仿宋_GB2312"/>
          <w:color w:val="auto"/>
          <w:sz w:val="32"/>
          <w:szCs w:val="32"/>
        </w:rPr>
      </w:pPr>
    </w:p>
    <w:p w14:paraId="22487E4F">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kern w:val="0"/>
          <w:sz w:val="32"/>
          <w:szCs w:val="32"/>
          <w:lang w:val="en-US" w:eastAsia="zh-CN"/>
        </w:rPr>
        <w:t>《山东省教育厅 山东省人民政府征兵办公室 山东省退役军人事务厅关于做好2026年普通高等教育专科升本科考试招生工作的通知》（鲁教学函〔2025〕24号）和《山东省教育招生考试院关于做好山东省2026年普通高等教育专科升本科招生考试报名工作的通知》（鲁招考〔2025〕125号）</w:t>
      </w:r>
      <w:r>
        <w:rPr>
          <w:rFonts w:hint="eastAsia" w:ascii="仿宋_GB2312" w:hAnsi="仿宋_GB2312" w:eastAsia="仿宋_GB2312" w:cs="仿宋_GB2312"/>
          <w:color w:val="auto"/>
          <w:kern w:val="0"/>
          <w:sz w:val="32"/>
          <w:szCs w:val="32"/>
        </w:rPr>
        <w:t>文件要求，为做好我校专科升本科（以下简称专升本）自荐考生专业综合能力测试工作，特制定本方案。</w:t>
      </w:r>
    </w:p>
    <w:p w14:paraId="522261A2">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一、目标要求</w:t>
      </w:r>
    </w:p>
    <w:p w14:paraId="0C0861E4">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通过专业综合能力测试，</w:t>
      </w:r>
      <w:bookmarkStart w:id="0" w:name="_GoBack"/>
      <w:bookmarkEnd w:id="0"/>
      <w:r>
        <w:rPr>
          <w:rFonts w:hint="eastAsia" w:ascii="仿宋_GB2312" w:hAnsi="仿宋_GB2312" w:eastAsia="仿宋_GB2312" w:cs="仿宋_GB2312"/>
          <w:color w:val="auto"/>
          <w:kern w:val="0"/>
          <w:sz w:val="32"/>
          <w:szCs w:val="32"/>
        </w:rPr>
        <w:t>了解掌握自荐考生专科段专业知识和素质能力的综合水平，确定是否能够满足我校后续本科段学习的专业素养和能力需求。</w:t>
      </w:r>
    </w:p>
    <w:p w14:paraId="38A019BB">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二、测试对象</w:t>
      </w:r>
    </w:p>
    <w:p w14:paraId="7107F3B9">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符合</w:t>
      </w:r>
      <w:r>
        <w:rPr>
          <w:rFonts w:hint="eastAsia" w:ascii="仿宋_GB2312" w:hAnsi="仿宋_GB2312" w:eastAsia="仿宋_GB2312" w:cs="仿宋_GB2312"/>
          <w:color w:val="auto"/>
          <w:kern w:val="0"/>
          <w:sz w:val="32"/>
          <w:szCs w:val="32"/>
          <w:lang w:val="en-US" w:eastAsia="zh-CN"/>
        </w:rPr>
        <w:t>《山东省教育厅 山东省人民政府征兵办公室 山东省退役军人事务厅关于做好2026年普通高等教育专科升本科考试招生工作的通知》（鲁教学函〔2025〕24号）</w:t>
      </w:r>
      <w:r>
        <w:rPr>
          <w:rFonts w:hint="eastAsia" w:ascii="仿宋_GB2312" w:hAnsi="仿宋_GB2312" w:eastAsia="仿宋_GB2312" w:cs="仿宋_GB2312"/>
          <w:color w:val="auto"/>
          <w:kern w:val="0"/>
          <w:sz w:val="32"/>
          <w:szCs w:val="32"/>
        </w:rPr>
        <w:t>文件规定的报考条件的自荐考生。</w:t>
      </w:r>
    </w:p>
    <w:p w14:paraId="591DE369">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三、报名办法</w:t>
      </w:r>
    </w:p>
    <w:p w14:paraId="6AAA1FDD">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自荐考生只能选择我校</w:t>
      </w:r>
      <w:r>
        <w:rPr>
          <w:rFonts w:hint="eastAsia" w:ascii="仿宋_GB2312" w:hAnsi="仿宋_GB2312" w:eastAsia="仿宋_GB2312" w:cs="仿宋_GB2312"/>
          <w:b/>
          <w:bCs/>
          <w:color w:val="auto"/>
          <w:kern w:val="0"/>
          <w:sz w:val="32"/>
          <w:szCs w:val="32"/>
        </w:rPr>
        <w:t>一个招生专业</w:t>
      </w:r>
      <w:r>
        <w:rPr>
          <w:rFonts w:hint="eastAsia" w:ascii="仿宋_GB2312" w:hAnsi="仿宋_GB2312" w:eastAsia="仿宋_GB2312" w:cs="仿宋_GB2312"/>
          <w:color w:val="auto"/>
          <w:kern w:val="0"/>
          <w:sz w:val="32"/>
          <w:szCs w:val="32"/>
        </w:rPr>
        <w:t>参加测试。考生按照《山东省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升本对应专业指导目录》对应专科专业（类）要求自行选择一个专业报考，并按要求参加所报考专业的专业综合能力测试。本次测试不收取报名、考试费用。若因对应错误影响后续考试及录取，责任由考生自负。</w:t>
      </w:r>
    </w:p>
    <w:p w14:paraId="1B9550A2">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（一）网上报名</w:t>
      </w:r>
    </w:p>
    <w:p w14:paraId="4A43072E">
      <w:pPr>
        <w:widowControl/>
        <w:spacing w:line="560" w:lineRule="exact"/>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FF0000"/>
          <w:kern w:val="0"/>
          <w:sz w:val="32"/>
          <w:szCs w:val="32"/>
          <w:lang w:eastAsia="zh-CN"/>
        </w:rPr>
        <w:t>2026</w:t>
      </w:r>
      <w:r>
        <w:rPr>
          <w:rFonts w:hint="eastAsia" w:ascii="仿宋_GB2312" w:hAnsi="仿宋_GB2312" w:eastAsia="仿宋_GB2312" w:cs="仿宋_GB2312"/>
          <w:b/>
          <w:bCs/>
          <w:color w:val="FF0000"/>
          <w:kern w:val="0"/>
          <w:sz w:val="32"/>
          <w:szCs w:val="32"/>
        </w:rPr>
        <w:t>年2月2</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日9:00-2月2</w:t>
      </w:r>
      <w:r>
        <w:rPr>
          <w:rFonts w:hint="eastAsia" w:ascii="仿宋_GB2312" w:hAnsi="仿宋_GB2312" w:eastAsia="仿宋_GB2312" w:cs="仿宋_GB2312"/>
          <w:b/>
          <w:bCs/>
          <w:color w:val="FF0000"/>
          <w:kern w:val="0"/>
          <w:sz w:val="32"/>
          <w:szCs w:val="32"/>
          <w:lang w:val="en-US" w:eastAsia="zh-CN"/>
        </w:rPr>
        <w:t>4</w:t>
      </w:r>
      <w:r>
        <w:rPr>
          <w:rFonts w:hint="eastAsia" w:ascii="仿宋_GB2312" w:hAnsi="仿宋_GB2312" w:eastAsia="仿宋_GB2312" w:cs="仿宋_GB2312"/>
          <w:b/>
          <w:bCs/>
          <w:color w:val="FF0000"/>
          <w:kern w:val="0"/>
          <w:sz w:val="32"/>
          <w:szCs w:val="32"/>
        </w:rPr>
        <w:t>日17:00</w:t>
      </w:r>
      <w:r>
        <w:rPr>
          <w:rFonts w:hint="eastAsia" w:ascii="仿宋_GB2312" w:hAnsi="仿宋_GB2312" w:eastAsia="仿宋_GB2312" w:cs="仿宋_GB2312"/>
          <w:color w:val="auto"/>
          <w:kern w:val="0"/>
          <w:sz w:val="32"/>
          <w:szCs w:val="32"/>
        </w:rPr>
        <w:t>,考生登录我校招生信息网（</w:t>
      </w:r>
      <w:r>
        <w:rPr>
          <w:b/>
          <w:bCs/>
          <w:color w:val="FF0000"/>
        </w:rPr>
        <w:fldChar w:fldCharType="begin"/>
      </w:r>
      <w:r>
        <w:rPr>
          <w:b/>
          <w:bCs/>
          <w:color w:val="FF0000"/>
        </w:rPr>
        <w:instrText xml:space="preserve"> HYPERLINK "http://zhaosheng.tsu.edu.cn/" </w:instrText>
      </w:r>
      <w:r>
        <w:rPr>
          <w:b/>
          <w:bCs/>
          <w:color w:val="FF0000"/>
        </w:rPr>
        <w:fldChar w:fldCharType="separate"/>
      </w:r>
      <w:r>
        <w:rPr>
          <w:rFonts w:hint="eastAsia" w:ascii="仿宋_GB2312" w:hAnsi="仿宋_GB2312" w:eastAsia="仿宋_GB2312" w:cs="仿宋_GB2312"/>
          <w:b/>
          <w:bCs/>
          <w:color w:val="FF0000"/>
          <w:kern w:val="0"/>
          <w:sz w:val="32"/>
          <w:szCs w:val="32"/>
        </w:rPr>
        <w:t>http://zhaosheng.tsu.edu.cn</w:t>
      </w:r>
      <w:r>
        <w:rPr>
          <w:rFonts w:hint="eastAsia" w:ascii="仿宋_GB2312" w:hAnsi="仿宋_GB2312" w:eastAsia="仿宋_GB2312" w:cs="仿宋_GB2312"/>
          <w:b/>
          <w:bCs/>
          <w:color w:val="FF0000"/>
          <w:kern w:val="0"/>
          <w:sz w:val="32"/>
          <w:szCs w:val="32"/>
        </w:rPr>
        <w:fldChar w:fldCharType="end"/>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查看</w:t>
      </w:r>
      <w:r>
        <w:rPr>
          <w:rFonts w:hint="eastAsia" w:ascii="仿宋_GB2312" w:hAnsi="仿宋_GB2312" w:eastAsia="仿宋_GB2312" w:cs="仿宋_GB2312"/>
          <w:b/>
          <w:bCs/>
          <w:color w:val="FF0000"/>
          <w:kern w:val="0"/>
          <w:sz w:val="32"/>
          <w:szCs w:val="32"/>
          <w:lang w:val="en-US" w:eastAsia="zh-CN"/>
        </w:rPr>
        <w:t>《泰山学院2026年专升本自荐生&lt;在线报名系统&gt;操作手册》</w:t>
      </w:r>
      <w:r>
        <w:rPr>
          <w:rFonts w:hint="eastAsia" w:ascii="仿宋_GB2312" w:hAnsi="仿宋_GB2312" w:eastAsia="仿宋_GB2312" w:cs="仿宋_GB2312"/>
          <w:color w:val="auto"/>
          <w:kern w:val="0"/>
          <w:sz w:val="32"/>
          <w:szCs w:val="32"/>
        </w:rPr>
        <w:t>进行网上报名</w:t>
      </w:r>
      <w:r>
        <w:rPr>
          <w:rFonts w:hint="eastAsia" w:ascii="仿宋_GB2312" w:hAnsi="仿宋_GB2312" w:eastAsia="仿宋_GB2312" w:cs="仿宋_GB2312"/>
          <w:color w:val="FF0000"/>
          <w:kern w:val="0"/>
          <w:sz w:val="32"/>
          <w:szCs w:val="32"/>
          <w:lang w:eastAsia="zh-CN"/>
        </w:rPr>
        <w:t>（</w:t>
      </w:r>
      <w:r>
        <w:rPr>
          <w:rFonts w:hint="eastAsia" w:ascii="仿宋_GB2312" w:hAnsi="仿宋_GB2312" w:eastAsia="仿宋_GB2312" w:cs="仿宋_GB2312"/>
          <w:color w:val="FF0000"/>
          <w:kern w:val="0"/>
          <w:sz w:val="32"/>
          <w:szCs w:val="32"/>
          <w:lang w:val="en-US" w:eastAsia="zh-CN"/>
        </w:rPr>
        <w:t>请关注后续通知）</w:t>
      </w:r>
      <w:r>
        <w:rPr>
          <w:rFonts w:hint="eastAsia" w:ascii="仿宋_GB2312" w:hAnsi="仿宋_GB2312" w:eastAsia="仿宋_GB2312" w:cs="仿宋_GB2312"/>
          <w:color w:val="auto"/>
          <w:kern w:val="0"/>
          <w:sz w:val="32"/>
          <w:szCs w:val="32"/>
        </w:rPr>
        <w:t>，准确、规范填写考生姓名、身份证号、专科院校、专科专业等信息;上传本人照片及加盖生源高校教务部门公章的《山东省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年普通高校专科应届毕业生学籍证明》（附件1）。</w:t>
      </w:r>
    </w:p>
    <w:p w14:paraId="08774F9F">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（二）信息核对</w:t>
      </w:r>
    </w:p>
    <w:p w14:paraId="64364D6B">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我校招生主管部门将把考生的报名信息与省考试院数据库进行核对。审核通过后，考生方可打印准考证参加后续专业测试。</w:t>
      </w:r>
      <w:r>
        <w:rPr>
          <w:rFonts w:hint="eastAsia" w:ascii="仿宋_GB2312" w:hAnsi="仿宋_GB2312" w:eastAsia="仿宋_GB2312" w:cs="仿宋_GB2312"/>
          <w:color w:val="auto"/>
          <w:kern w:val="0"/>
          <w:sz w:val="32"/>
          <w:szCs w:val="32"/>
          <w:lang w:val="en-US" w:eastAsia="zh-CN"/>
        </w:rPr>
        <w:t>2月27日</w:t>
      </w:r>
      <w:r>
        <w:rPr>
          <w:rFonts w:hint="eastAsia" w:ascii="仿宋_GB2312" w:hAnsi="仿宋_GB2312" w:eastAsia="仿宋_GB2312" w:cs="仿宋_GB2312"/>
          <w:color w:val="auto"/>
          <w:kern w:val="0"/>
          <w:sz w:val="32"/>
          <w:szCs w:val="32"/>
        </w:rPr>
        <w:t>，考生可登录报名网址查看报名信息是否审核通过。</w:t>
      </w:r>
    </w:p>
    <w:p w14:paraId="1244E6BA">
      <w:pPr>
        <w:widowControl/>
        <w:numPr>
          <w:ilvl w:val="0"/>
          <w:numId w:val="1"/>
        </w:numPr>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准考证打印</w:t>
      </w:r>
    </w:p>
    <w:p w14:paraId="785433C6">
      <w:pPr>
        <w:widowControl/>
        <w:numPr>
          <w:ilvl w:val="255"/>
          <w:numId w:val="0"/>
        </w:num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2月2</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日，通过审核的考生登录我校招生信息网自荐考生报名系统打印准考证。</w:t>
      </w:r>
    </w:p>
    <w:p w14:paraId="51533AB3">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四、专业综合能力测试</w:t>
      </w:r>
    </w:p>
    <w:p w14:paraId="00FFC3F7">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（一）测试方式</w:t>
      </w:r>
    </w:p>
    <w:p w14:paraId="6F0D9386">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音乐学专业以现场测试的方式进行，地点：泰山学院校本部音乐楼，泰安市东岳大街525号。</w:t>
      </w:r>
      <w:r>
        <w:rPr>
          <w:rFonts w:hint="eastAsia" w:ascii="仿宋_GB2312" w:hAnsi="仿宋_GB2312" w:eastAsia="仿宋_GB2312" w:cs="仿宋_GB2312"/>
          <w:b/>
          <w:bCs/>
          <w:color w:val="auto"/>
          <w:kern w:val="0"/>
          <w:sz w:val="32"/>
          <w:szCs w:val="32"/>
        </w:rPr>
        <w:t>器乐演奏仅提供钢琴，其他器乐请自带</w:t>
      </w:r>
      <w:r>
        <w:rPr>
          <w:rFonts w:hint="eastAsia" w:ascii="仿宋_GB2312" w:hAnsi="仿宋_GB2312" w:eastAsia="仿宋_GB2312" w:cs="仿宋_GB2312"/>
          <w:color w:val="auto"/>
          <w:kern w:val="0"/>
          <w:sz w:val="32"/>
          <w:szCs w:val="32"/>
        </w:rPr>
        <w:t>。</w:t>
      </w:r>
    </w:p>
    <w:p w14:paraId="66448DD2">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普通类招生专业以线上测试的方式进行，包括计算机科学与技术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金融工程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学前教育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小学教育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汉语言文学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英语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数学与应用数学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生物科学</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机械设计制造及其自动化</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高分子材料与工程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土木工程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市场营销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财务管理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旅游管理专业。《泰山学院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年普通专升本自荐考生专业综合能力测试线上测试系统操作说明》</w:t>
      </w:r>
      <w:r>
        <w:rPr>
          <w:rFonts w:hint="eastAsia" w:ascii="仿宋_GB2312" w:hAnsi="仿宋_GB2312" w:eastAsia="仿宋_GB2312" w:cs="仿宋_GB2312"/>
          <w:color w:val="auto"/>
          <w:kern w:val="0"/>
          <w:sz w:val="32"/>
          <w:szCs w:val="32"/>
          <w:lang w:val="en-US" w:eastAsia="zh-CN"/>
        </w:rPr>
        <w:t>同步</w:t>
      </w:r>
      <w:r>
        <w:rPr>
          <w:rFonts w:hint="eastAsia" w:ascii="仿宋_GB2312" w:hAnsi="仿宋_GB2312" w:eastAsia="仿宋_GB2312" w:cs="仿宋_GB2312"/>
          <w:color w:val="auto"/>
          <w:kern w:val="0"/>
          <w:sz w:val="32"/>
          <w:szCs w:val="32"/>
        </w:rPr>
        <w:t>发布，请考生及时关注我校招生信息网查看有关通知。</w:t>
      </w:r>
    </w:p>
    <w:p w14:paraId="4188BF57">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2月2</w:t>
      </w:r>
      <w:r>
        <w:rPr>
          <w:rFonts w:hint="eastAsia" w:ascii="仿宋_GB2312" w:hAnsi="仿宋_GB2312" w:eastAsia="仿宋_GB2312" w:cs="仿宋_GB2312"/>
          <w:b/>
          <w:bCs/>
          <w:color w:val="FF0000"/>
          <w:kern w:val="0"/>
          <w:sz w:val="32"/>
          <w:szCs w:val="32"/>
          <w:lang w:val="en-US" w:eastAsia="zh-CN"/>
        </w:rPr>
        <w:t>7</w:t>
      </w:r>
      <w:r>
        <w:rPr>
          <w:rFonts w:hint="eastAsia" w:ascii="仿宋_GB2312" w:hAnsi="仿宋_GB2312" w:eastAsia="仿宋_GB2312" w:cs="仿宋_GB2312"/>
          <w:b/>
          <w:bCs/>
          <w:color w:val="FF0000"/>
          <w:kern w:val="0"/>
          <w:sz w:val="32"/>
          <w:szCs w:val="32"/>
        </w:rPr>
        <w:t>日上午9:00至11:30，考生凭本人身份证、准考证登陆我校专业测试线上测试系统进行设备调试、模拟演练</w:t>
      </w:r>
      <w:r>
        <w:rPr>
          <w:rFonts w:hint="eastAsia" w:ascii="仿宋_GB2312" w:hAnsi="仿宋_GB2312" w:eastAsia="仿宋_GB2312" w:cs="仿宋_GB2312"/>
          <w:b/>
          <w:bCs/>
          <w:color w:val="FF0000"/>
          <w:kern w:val="0"/>
          <w:sz w:val="32"/>
          <w:szCs w:val="32"/>
          <w:lang w:eastAsia="zh-CN"/>
        </w:rPr>
        <w:t>（</w:t>
      </w:r>
      <w:r>
        <w:rPr>
          <w:rFonts w:hint="eastAsia" w:ascii="仿宋_GB2312" w:hAnsi="仿宋_GB2312" w:eastAsia="仿宋_GB2312" w:cs="仿宋_GB2312"/>
          <w:b/>
          <w:bCs/>
          <w:color w:val="FF0000"/>
          <w:kern w:val="0"/>
          <w:sz w:val="32"/>
          <w:szCs w:val="32"/>
          <w:lang w:val="en-US" w:eastAsia="zh-CN"/>
        </w:rPr>
        <w:t>音乐学不需要参加</w:t>
      </w:r>
      <w:r>
        <w:rPr>
          <w:rFonts w:hint="eastAsia" w:ascii="仿宋_GB2312" w:hAnsi="仿宋_GB2312" w:eastAsia="仿宋_GB2312" w:cs="仿宋_GB2312"/>
          <w:b/>
          <w:bCs/>
          <w:color w:val="FF0000"/>
          <w:kern w:val="0"/>
          <w:sz w:val="32"/>
          <w:szCs w:val="32"/>
          <w:lang w:eastAsia="zh-CN"/>
        </w:rPr>
        <w:t>）</w:t>
      </w:r>
      <w:r>
        <w:rPr>
          <w:rFonts w:hint="eastAsia" w:ascii="仿宋_GB2312" w:hAnsi="仿宋_GB2312" w:eastAsia="仿宋_GB2312" w:cs="仿宋_GB2312"/>
          <w:b/>
          <w:bCs/>
          <w:color w:val="FF0000"/>
          <w:kern w:val="0"/>
          <w:sz w:val="32"/>
          <w:szCs w:val="32"/>
        </w:rPr>
        <w:t>。</w:t>
      </w:r>
    </w:p>
    <w:p w14:paraId="36213510">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（二）测试时间</w:t>
      </w:r>
    </w:p>
    <w:p w14:paraId="32FD7317">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 xml:space="preserve">音乐学专业：    </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月</w:t>
      </w:r>
      <w:r>
        <w:rPr>
          <w:rFonts w:hint="eastAsia" w:ascii="仿宋_GB2312" w:hAnsi="仿宋_GB2312" w:eastAsia="仿宋_GB2312" w:cs="仿宋_GB2312"/>
          <w:b/>
          <w:bCs/>
          <w:color w:val="FF0000"/>
          <w:kern w:val="0"/>
          <w:sz w:val="32"/>
          <w:szCs w:val="32"/>
          <w:lang w:val="en-US" w:eastAsia="zh-CN"/>
        </w:rPr>
        <w:t>28</w:t>
      </w:r>
      <w:r>
        <w:rPr>
          <w:rFonts w:hint="eastAsia" w:ascii="仿宋_GB2312" w:hAnsi="仿宋_GB2312" w:eastAsia="仿宋_GB2312" w:cs="仿宋_GB2312"/>
          <w:b/>
          <w:bCs/>
          <w:color w:val="FF0000"/>
          <w:kern w:val="0"/>
          <w:sz w:val="32"/>
          <w:szCs w:val="32"/>
        </w:rPr>
        <w:t>日     1</w:t>
      </w:r>
      <w:r>
        <w:rPr>
          <w:rFonts w:hint="eastAsia" w:ascii="仿宋_GB2312" w:hAnsi="仿宋_GB2312" w:eastAsia="仿宋_GB2312" w:cs="仿宋_GB2312"/>
          <w:b/>
          <w:bCs/>
          <w:color w:val="FF0000"/>
          <w:kern w:val="0"/>
          <w:sz w:val="32"/>
          <w:szCs w:val="32"/>
          <w:lang w:val="en-US" w:eastAsia="zh-CN"/>
        </w:rPr>
        <w:t>3</w:t>
      </w:r>
      <w:r>
        <w:rPr>
          <w:rFonts w:hint="eastAsia" w:ascii="仿宋_GB2312" w:hAnsi="仿宋_GB2312" w:eastAsia="仿宋_GB2312" w:cs="仿宋_GB2312"/>
          <w:b/>
          <w:bCs/>
          <w:color w:val="FF0000"/>
          <w:kern w:val="0"/>
          <w:sz w:val="32"/>
          <w:szCs w:val="32"/>
        </w:rPr>
        <w:t>:00-1</w:t>
      </w:r>
      <w:r>
        <w:rPr>
          <w:rFonts w:hint="eastAsia" w:ascii="仿宋_GB2312" w:hAnsi="仿宋_GB2312" w:eastAsia="仿宋_GB2312" w:cs="仿宋_GB2312"/>
          <w:b/>
          <w:bCs/>
          <w:color w:val="FF0000"/>
          <w:kern w:val="0"/>
          <w:sz w:val="32"/>
          <w:szCs w:val="32"/>
          <w:lang w:val="en-US" w:eastAsia="zh-CN"/>
        </w:rPr>
        <w:t>7</w:t>
      </w:r>
      <w:r>
        <w:rPr>
          <w:rFonts w:hint="eastAsia" w:ascii="仿宋_GB2312" w:hAnsi="仿宋_GB2312" w:eastAsia="仿宋_GB2312" w:cs="仿宋_GB2312"/>
          <w:b/>
          <w:bCs/>
          <w:color w:val="FF0000"/>
          <w:kern w:val="0"/>
          <w:sz w:val="32"/>
          <w:szCs w:val="32"/>
        </w:rPr>
        <w:t>:00</w:t>
      </w:r>
    </w:p>
    <w:p w14:paraId="40350FC0">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普通类招生专业：</w:t>
      </w:r>
      <w:r>
        <w:rPr>
          <w:rFonts w:hint="eastAsia" w:ascii="仿宋_GB2312" w:hAnsi="仿宋_GB2312" w:eastAsia="仿宋_GB2312" w:cs="仿宋_GB2312"/>
          <w:b/>
          <w:bCs/>
          <w:color w:val="FF0000"/>
          <w:kern w:val="0"/>
          <w:sz w:val="32"/>
          <w:szCs w:val="32"/>
          <w:lang w:val="en-US" w:eastAsia="zh-CN"/>
        </w:rPr>
        <w:t>2</w:t>
      </w:r>
      <w:r>
        <w:rPr>
          <w:rFonts w:hint="eastAsia" w:ascii="仿宋_GB2312" w:hAnsi="仿宋_GB2312" w:eastAsia="仿宋_GB2312" w:cs="仿宋_GB2312"/>
          <w:b/>
          <w:bCs/>
          <w:color w:val="FF0000"/>
          <w:kern w:val="0"/>
          <w:sz w:val="32"/>
          <w:szCs w:val="32"/>
        </w:rPr>
        <w:t>月</w:t>
      </w:r>
      <w:r>
        <w:rPr>
          <w:rFonts w:hint="eastAsia" w:ascii="仿宋_GB2312" w:hAnsi="仿宋_GB2312" w:eastAsia="仿宋_GB2312" w:cs="仿宋_GB2312"/>
          <w:b/>
          <w:bCs/>
          <w:color w:val="FF0000"/>
          <w:kern w:val="0"/>
          <w:sz w:val="32"/>
          <w:szCs w:val="32"/>
          <w:lang w:val="en-US" w:eastAsia="zh-CN"/>
        </w:rPr>
        <w:t>28</w:t>
      </w:r>
      <w:r>
        <w:rPr>
          <w:rFonts w:hint="eastAsia" w:ascii="仿宋_GB2312" w:hAnsi="仿宋_GB2312" w:eastAsia="仿宋_GB2312" w:cs="仿宋_GB2312"/>
          <w:b/>
          <w:bCs/>
          <w:color w:val="FF0000"/>
          <w:kern w:val="0"/>
          <w:sz w:val="32"/>
          <w:szCs w:val="32"/>
        </w:rPr>
        <w:t xml:space="preserve">日     </w:t>
      </w:r>
      <w:r>
        <w:rPr>
          <w:rFonts w:hint="eastAsia" w:ascii="仿宋_GB2312" w:hAnsi="仿宋_GB2312" w:eastAsia="仿宋_GB2312" w:cs="仿宋_GB2312"/>
          <w:b/>
          <w:bCs/>
          <w:color w:val="FF0000"/>
          <w:kern w:val="0"/>
          <w:sz w:val="32"/>
          <w:szCs w:val="32"/>
          <w:lang w:val="en-US" w:eastAsia="zh-CN"/>
        </w:rPr>
        <w:t xml:space="preserve"> </w:t>
      </w:r>
      <w:r>
        <w:rPr>
          <w:rFonts w:hint="eastAsia" w:ascii="仿宋_GB2312" w:hAnsi="仿宋_GB2312" w:eastAsia="仿宋_GB2312" w:cs="仿宋_GB2312"/>
          <w:b/>
          <w:bCs/>
          <w:color w:val="FF0000"/>
          <w:kern w:val="0"/>
          <w:sz w:val="32"/>
          <w:szCs w:val="32"/>
        </w:rPr>
        <w:t>科目一9:00-9:40</w:t>
      </w:r>
    </w:p>
    <w:p w14:paraId="4EA9FCC9">
      <w:pPr>
        <w:widowControl/>
        <w:spacing w:line="560" w:lineRule="exact"/>
        <w:ind w:firstLine="643"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FF0000"/>
          <w:kern w:val="0"/>
          <w:sz w:val="32"/>
          <w:szCs w:val="32"/>
        </w:rPr>
        <w:t xml:space="preserve">                              科目二9:50-10:30</w:t>
      </w:r>
    </w:p>
    <w:p w14:paraId="6A538229">
      <w:pPr>
        <w:widowControl/>
        <w:spacing w:line="560" w:lineRule="exact"/>
        <w:ind w:firstLine="640" w:firstLineChars="200"/>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（三）测试科目</w:t>
      </w:r>
    </w:p>
    <w:tbl>
      <w:tblPr>
        <w:tblStyle w:val="7"/>
        <w:tblW w:w="0" w:type="auto"/>
        <w:jc w:val="center"/>
        <w:tblLayout w:type="autofit"/>
        <w:tblCellMar>
          <w:top w:w="0" w:type="dxa"/>
          <w:left w:w="0" w:type="dxa"/>
          <w:bottom w:w="0" w:type="dxa"/>
          <w:right w:w="0" w:type="dxa"/>
        </w:tblCellMar>
      </w:tblPr>
      <w:tblGrid>
        <w:gridCol w:w="1060"/>
        <w:gridCol w:w="1287"/>
        <w:gridCol w:w="1263"/>
        <w:gridCol w:w="2600"/>
        <w:gridCol w:w="1400"/>
        <w:gridCol w:w="2246"/>
      </w:tblGrid>
      <w:tr w14:paraId="1D98885F">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0B54240">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专业代码</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64BB658B">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招生专业</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4336C9A">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考试科目</w:t>
            </w:r>
            <w:r>
              <w:rPr>
                <w:rFonts w:hint="eastAsia" w:ascii="黑体" w:hAnsi="宋体" w:eastAsia="黑体" w:cs="黑体"/>
                <w:color w:val="000000"/>
                <w:kern w:val="0"/>
                <w:sz w:val="21"/>
                <w:szCs w:val="21"/>
                <w:lang w:val="en-US" w:eastAsia="zh-CN" w:bidi="ar"/>
              </w:rPr>
              <w:t>一</w:t>
            </w:r>
          </w:p>
        </w:tc>
        <w:tc>
          <w:tcPr>
            <w:tcW w:w="2600" w:type="dxa"/>
            <w:tcBorders>
              <w:top w:val="single" w:color="000000" w:sz="6" w:space="0"/>
              <w:left w:val="nil"/>
              <w:bottom w:val="single" w:color="000000" w:sz="6" w:space="0"/>
              <w:right w:val="single" w:color="auto" w:sz="4" w:space="0"/>
            </w:tcBorders>
            <w:vAlign w:val="center"/>
          </w:tcPr>
          <w:p w14:paraId="74741A79">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lang w:val="en-US" w:eastAsia="zh-CN"/>
              </w:rPr>
            </w:pPr>
            <w:r>
              <w:rPr>
                <w:rFonts w:ascii="黑体" w:hAnsi="宋体" w:eastAsia="黑体" w:cs="黑体"/>
                <w:color w:val="000000"/>
                <w:kern w:val="0"/>
                <w:sz w:val="21"/>
                <w:szCs w:val="21"/>
                <w:lang w:val="en-US" w:eastAsia="zh-CN" w:bidi="ar"/>
              </w:rPr>
              <w:t>科目</w:t>
            </w:r>
            <w:r>
              <w:rPr>
                <w:rFonts w:hint="eastAsia" w:ascii="黑体" w:hAnsi="宋体" w:eastAsia="黑体" w:cs="黑体"/>
                <w:color w:val="000000"/>
                <w:kern w:val="0"/>
                <w:sz w:val="21"/>
                <w:szCs w:val="21"/>
                <w:lang w:val="en-US" w:eastAsia="zh-CN" w:bidi="ar"/>
              </w:rPr>
              <w:t>一</w:t>
            </w:r>
            <w:r>
              <w:rPr>
                <w:rFonts w:ascii="黑体" w:hAnsi="宋体" w:eastAsia="黑体" w:cs="黑体"/>
                <w:color w:val="000000"/>
                <w:kern w:val="0"/>
                <w:sz w:val="21"/>
                <w:szCs w:val="21"/>
                <w:lang w:val="en-US" w:eastAsia="zh-CN" w:bidi="ar"/>
              </w:rPr>
              <w:t>参考书目</w:t>
            </w:r>
          </w:p>
        </w:tc>
        <w:tc>
          <w:tcPr>
            <w:tcW w:w="1400" w:type="dxa"/>
            <w:tcBorders>
              <w:top w:val="single" w:color="000000" w:sz="6" w:space="0"/>
              <w:left w:val="nil"/>
              <w:bottom w:val="single" w:color="000000" w:sz="6" w:space="0"/>
              <w:right w:val="single" w:color="auto" w:sz="4" w:space="0"/>
            </w:tcBorders>
            <w:vAlign w:val="center"/>
          </w:tcPr>
          <w:p w14:paraId="43DA0106">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rPr>
            </w:pPr>
            <w:r>
              <w:rPr>
                <w:rFonts w:ascii="黑体" w:hAnsi="宋体" w:eastAsia="黑体" w:cs="黑体"/>
                <w:color w:val="000000"/>
                <w:kern w:val="0"/>
                <w:sz w:val="21"/>
                <w:szCs w:val="21"/>
                <w:lang w:val="en-US" w:eastAsia="zh-CN" w:bidi="ar"/>
              </w:rPr>
              <w:t>考试科目</w:t>
            </w:r>
            <w:r>
              <w:rPr>
                <w:rFonts w:hint="eastAsia" w:ascii="黑体" w:hAnsi="宋体" w:eastAsia="黑体" w:cs="黑体"/>
                <w:color w:val="000000"/>
                <w:kern w:val="0"/>
                <w:sz w:val="21"/>
                <w:szCs w:val="21"/>
                <w:lang w:val="en-US" w:eastAsia="zh-CN" w:bidi="ar"/>
              </w:rPr>
              <w:t>二</w:t>
            </w:r>
          </w:p>
        </w:tc>
        <w:tc>
          <w:tcPr>
            <w:tcW w:w="2246" w:type="dxa"/>
            <w:tcBorders>
              <w:top w:val="single" w:color="000000" w:sz="6" w:space="0"/>
              <w:left w:val="nil"/>
              <w:bottom w:val="single" w:color="000000" w:sz="6" w:space="0"/>
              <w:right w:val="single" w:color="auto" w:sz="4" w:space="0"/>
            </w:tcBorders>
            <w:vAlign w:val="center"/>
          </w:tcPr>
          <w:p w14:paraId="1E1FD8BF">
            <w:pPr>
              <w:keepNext w:val="0"/>
              <w:keepLines w:val="0"/>
              <w:widowControl/>
              <w:suppressLineNumbers w:val="0"/>
              <w:wordWrap/>
              <w:spacing w:line="240" w:lineRule="auto"/>
              <w:jc w:val="center"/>
              <w:textAlignment w:val="center"/>
              <w:rPr>
                <w:rFonts w:hint="eastAsia" w:ascii="仿宋_GB2312" w:hAnsi="仿宋_GB2312" w:eastAsia="仿宋_GB2312" w:cs="仿宋_GB2312"/>
                <w:b/>
                <w:color w:val="auto"/>
                <w:kern w:val="0"/>
                <w:sz w:val="21"/>
                <w:szCs w:val="21"/>
                <w:lang w:val="en-US" w:eastAsia="zh-CN"/>
              </w:rPr>
            </w:pPr>
            <w:r>
              <w:rPr>
                <w:rFonts w:ascii="黑体" w:hAnsi="宋体" w:eastAsia="黑体" w:cs="黑体"/>
                <w:color w:val="000000"/>
                <w:kern w:val="0"/>
                <w:sz w:val="21"/>
                <w:szCs w:val="21"/>
                <w:lang w:val="en-US" w:eastAsia="zh-CN" w:bidi="ar"/>
              </w:rPr>
              <w:t>科目</w:t>
            </w:r>
            <w:r>
              <w:rPr>
                <w:rFonts w:hint="eastAsia" w:ascii="黑体" w:hAnsi="宋体" w:eastAsia="黑体" w:cs="黑体"/>
                <w:color w:val="000000"/>
                <w:kern w:val="0"/>
                <w:sz w:val="21"/>
                <w:szCs w:val="21"/>
                <w:lang w:val="en-US" w:eastAsia="zh-CN" w:bidi="ar"/>
              </w:rPr>
              <w:t>二</w:t>
            </w:r>
            <w:r>
              <w:rPr>
                <w:rFonts w:ascii="黑体" w:hAnsi="宋体" w:eastAsia="黑体" w:cs="黑体"/>
                <w:color w:val="000000"/>
                <w:kern w:val="0"/>
                <w:sz w:val="21"/>
                <w:szCs w:val="21"/>
                <w:lang w:val="en-US" w:eastAsia="zh-CN" w:bidi="ar"/>
              </w:rPr>
              <w:t>参考书目</w:t>
            </w:r>
          </w:p>
        </w:tc>
      </w:tr>
      <w:tr w14:paraId="78C3A654">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14EBC2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080901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7495A63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计算机科学与技术</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C16A21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数据结构</w:t>
            </w:r>
          </w:p>
        </w:tc>
        <w:tc>
          <w:tcPr>
            <w:tcW w:w="2600" w:type="dxa"/>
            <w:tcBorders>
              <w:top w:val="single" w:color="000000" w:sz="6" w:space="0"/>
              <w:left w:val="nil"/>
              <w:bottom w:val="single" w:color="000000" w:sz="6" w:space="0"/>
              <w:right w:val="single" w:color="auto" w:sz="4" w:space="0"/>
            </w:tcBorders>
            <w:vAlign w:val="center"/>
          </w:tcPr>
          <w:p w14:paraId="38AAB60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《数据结构教程》（第六版，李春葆主编，清华大学出版社）</w:t>
            </w:r>
          </w:p>
        </w:tc>
        <w:tc>
          <w:tcPr>
            <w:tcW w:w="1400" w:type="dxa"/>
            <w:tcBorders>
              <w:top w:val="single" w:color="000000" w:sz="6" w:space="0"/>
              <w:left w:val="nil"/>
              <w:bottom w:val="single" w:color="000000" w:sz="6" w:space="0"/>
              <w:right w:val="single" w:color="auto" w:sz="4" w:space="0"/>
            </w:tcBorders>
            <w:vAlign w:val="center"/>
          </w:tcPr>
          <w:p w14:paraId="7B54130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操作系统</w:t>
            </w:r>
          </w:p>
        </w:tc>
        <w:tc>
          <w:tcPr>
            <w:tcW w:w="2246" w:type="dxa"/>
            <w:tcBorders>
              <w:top w:val="single" w:color="000000" w:sz="6" w:space="0"/>
              <w:left w:val="nil"/>
              <w:bottom w:val="single" w:color="000000" w:sz="6" w:space="0"/>
              <w:right w:val="single" w:color="auto" w:sz="4" w:space="0"/>
            </w:tcBorders>
            <w:vAlign w:val="center"/>
          </w:tcPr>
          <w:p w14:paraId="09DD3C72">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《计算机操作系统》（慕课版，汤小丹等编，人民邮电出版社）</w:t>
            </w:r>
          </w:p>
        </w:tc>
      </w:tr>
      <w:tr w14:paraId="08AD5AC9">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3195C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020302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94B61C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金融工程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BF23C58">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金融学</w:t>
            </w:r>
          </w:p>
        </w:tc>
        <w:tc>
          <w:tcPr>
            <w:tcW w:w="2600" w:type="dxa"/>
            <w:tcBorders>
              <w:top w:val="single" w:color="000000" w:sz="6" w:space="0"/>
              <w:left w:val="nil"/>
              <w:bottom w:val="single" w:color="000000" w:sz="6" w:space="0"/>
              <w:right w:val="single" w:color="auto" w:sz="4" w:space="0"/>
            </w:tcBorders>
            <w:vAlign w:val="center"/>
          </w:tcPr>
          <w:p w14:paraId="39B6C7D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《金融学》（精编版)，（第六版，黄达主编，中国人民大学出版社）</w:t>
            </w:r>
          </w:p>
        </w:tc>
        <w:tc>
          <w:tcPr>
            <w:tcW w:w="1400" w:type="dxa"/>
            <w:tcBorders>
              <w:top w:val="single" w:color="000000" w:sz="6" w:space="0"/>
              <w:left w:val="nil"/>
              <w:bottom w:val="single" w:color="000000" w:sz="6" w:space="0"/>
              <w:right w:val="single" w:color="auto" w:sz="4" w:space="0"/>
            </w:tcBorders>
            <w:vAlign w:val="center"/>
          </w:tcPr>
          <w:p w14:paraId="4701F94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经济学原理</w:t>
            </w:r>
          </w:p>
        </w:tc>
        <w:tc>
          <w:tcPr>
            <w:tcW w:w="2246" w:type="dxa"/>
            <w:tcBorders>
              <w:top w:val="single" w:color="000000" w:sz="6" w:space="0"/>
              <w:left w:val="nil"/>
              <w:bottom w:val="single" w:color="000000" w:sz="6" w:space="0"/>
              <w:right w:val="single" w:color="auto" w:sz="4" w:space="0"/>
            </w:tcBorders>
            <w:vAlign w:val="center"/>
          </w:tcPr>
          <w:p w14:paraId="0106776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《西方经济学（微观+宏观）》，（第七版或第八版，高鸿业主编，中国人民大学出版社）</w:t>
            </w:r>
          </w:p>
        </w:tc>
      </w:tr>
      <w:tr w14:paraId="5D737AF3">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1A9E5A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040106</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DDD508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学前教育</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E68133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w:t>
            </w:r>
          </w:p>
        </w:tc>
        <w:tc>
          <w:tcPr>
            <w:tcW w:w="2600" w:type="dxa"/>
            <w:tcBorders>
              <w:top w:val="single" w:color="000000" w:sz="6" w:space="0"/>
              <w:left w:val="nil"/>
              <w:bottom w:val="single" w:color="000000" w:sz="6" w:space="0"/>
              <w:right w:val="single" w:color="auto" w:sz="4" w:space="0"/>
            </w:tcBorders>
            <w:vAlign w:val="center"/>
          </w:tcPr>
          <w:p w14:paraId="352E5FF1">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《教育学原理》（项贤明等编，高等教育出版社）</w:t>
            </w:r>
          </w:p>
        </w:tc>
        <w:tc>
          <w:tcPr>
            <w:tcW w:w="1400" w:type="dxa"/>
            <w:tcBorders>
              <w:top w:val="single" w:color="000000" w:sz="6" w:space="0"/>
              <w:left w:val="nil"/>
              <w:bottom w:val="single" w:color="000000" w:sz="6" w:space="0"/>
              <w:right w:val="single" w:color="auto" w:sz="4" w:space="0"/>
            </w:tcBorders>
            <w:vAlign w:val="center"/>
          </w:tcPr>
          <w:p w14:paraId="19B6886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教育心理学</w:t>
            </w:r>
          </w:p>
        </w:tc>
        <w:tc>
          <w:tcPr>
            <w:tcW w:w="2246" w:type="dxa"/>
            <w:tcBorders>
              <w:top w:val="single" w:color="000000" w:sz="6" w:space="0"/>
              <w:left w:val="nil"/>
              <w:bottom w:val="single" w:color="000000" w:sz="6" w:space="0"/>
              <w:right w:val="single" w:color="auto" w:sz="4" w:space="0"/>
            </w:tcBorders>
            <w:vAlign w:val="center"/>
          </w:tcPr>
          <w:p w14:paraId="6FEEC0A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《当代教育心理学》（陈琦、刘儒德合著，北京师范大学出版社）</w:t>
            </w:r>
          </w:p>
        </w:tc>
      </w:tr>
      <w:tr w14:paraId="14904450">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C88190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040107</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C3479F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小学教育</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54386F9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w:t>
            </w:r>
          </w:p>
        </w:tc>
        <w:tc>
          <w:tcPr>
            <w:tcW w:w="2600" w:type="dxa"/>
            <w:tcBorders>
              <w:top w:val="single" w:color="000000" w:sz="6" w:space="0"/>
              <w:left w:val="nil"/>
              <w:bottom w:val="single" w:color="000000" w:sz="6" w:space="0"/>
              <w:right w:val="single" w:color="auto" w:sz="4" w:space="0"/>
            </w:tcBorders>
            <w:vAlign w:val="center"/>
          </w:tcPr>
          <w:p w14:paraId="638AD493">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《教育学原理》（项贤明等编，高等教育出版社）</w:t>
            </w:r>
          </w:p>
        </w:tc>
        <w:tc>
          <w:tcPr>
            <w:tcW w:w="1400" w:type="dxa"/>
            <w:tcBorders>
              <w:top w:val="single" w:color="000000" w:sz="6" w:space="0"/>
              <w:left w:val="nil"/>
              <w:bottom w:val="single" w:color="000000" w:sz="6" w:space="0"/>
              <w:right w:val="single" w:color="auto" w:sz="4" w:space="0"/>
            </w:tcBorders>
            <w:vAlign w:val="center"/>
          </w:tcPr>
          <w:p w14:paraId="141EEDA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教育心理学</w:t>
            </w:r>
          </w:p>
        </w:tc>
        <w:tc>
          <w:tcPr>
            <w:tcW w:w="2246" w:type="dxa"/>
            <w:tcBorders>
              <w:top w:val="single" w:color="000000" w:sz="6" w:space="0"/>
              <w:left w:val="nil"/>
              <w:bottom w:val="single" w:color="000000" w:sz="6" w:space="0"/>
              <w:right w:val="single" w:color="auto" w:sz="4" w:space="0"/>
            </w:tcBorders>
            <w:vAlign w:val="center"/>
          </w:tcPr>
          <w:p w14:paraId="3DF96789">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《当代教育心理学》（陈琦、刘儒德合著，北京师范大学出版社）</w:t>
            </w:r>
          </w:p>
        </w:tc>
      </w:tr>
      <w:tr w14:paraId="5EFEB5AD">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ED117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050101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67C34B4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汉语言文学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4A2CF5A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语言基础</w:t>
            </w:r>
          </w:p>
        </w:tc>
        <w:tc>
          <w:tcPr>
            <w:tcW w:w="2600" w:type="dxa"/>
            <w:tcBorders>
              <w:top w:val="single" w:color="000000" w:sz="6" w:space="0"/>
              <w:left w:val="nil"/>
              <w:bottom w:val="single" w:color="000000" w:sz="6" w:space="0"/>
              <w:right w:val="single" w:color="auto" w:sz="4" w:space="0"/>
            </w:tcBorders>
            <w:vAlign w:val="center"/>
          </w:tcPr>
          <w:p w14:paraId="770F477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《现代汉语》（增订七版，黄伯荣、廖序东主编，高等教育出版社）</w:t>
            </w:r>
          </w:p>
        </w:tc>
        <w:tc>
          <w:tcPr>
            <w:tcW w:w="1400" w:type="dxa"/>
            <w:tcBorders>
              <w:top w:val="single" w:color="000000" w:sz="6" w:space="0"/>
              <w:left w:val="nil"/>
              <w:bottom w:val="single" w:color="000000" w:sz="6" w:space="0"/>
              <w:right w:val="single" w:color="auto" w:sz="4" w:space="0"/>
            </w:tcBorders>
            <w:vAlign w:val="center"/>
          </w:tcPr>
          <w:p w14:paraId="39DA083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文学综合</w:t>
            </w:r>
          </w:p>
        </w:tc>
        <w:tc>
          <w:tcPr>
            <w:tcW w:w="2246" w:type="dxa"/>
            <w:tcBorders>
              <w:top w:val="single" w:color="000000" w:sz="6" w:space="0"/>
              <w:left w:val="nil"/>
              <w:bottom w:val="single" w:color="000000" w:sz="6" w:space="0"/>
              <w:right w:val="single" w:color="auto" w:sz="4" w:space="0"/>
            </w:tcBorders>
            <w:vAlign w:val="center"/>
          </w:tcPr>
          <w:p w14:paraId="5AE7F1F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《中国文学史》（第二版，袁行霈主编，高等教育出版社）</w:t>
            </w:r>
          </w:p>
        </w:tc>
      </w:tr>
      <w:tr w14:paraId="72A41978">
        <w:tblPrEx>
          <w:tblCellMar>
            <w:top w:w="0" w:type="dxa"/>
            <w:left w:w="0" w:type="dxa"/>
            <w:bottom w:w="0" w:type="dxa"/>
            <w:right w:w="0" w:type="dxa"/>
          </w:tblCellMar>
        </w:tblPrEx>
        <w:trPr>
          <w:trHeight w:val="575"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6169E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050201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92960C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英语</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3723DD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基础英语</w:t>
            </w:r>
          </w:p>
        </w:tc>
        <w:tc>
          <w:tcPr>
            <w:tcW w:w="2600" w:type="dxa"/>
            <w:tcBorders>
              <w:top w:val="single" w:color="000000" w:sz="6" w:space="0"/>
              <w:left w:val="nil"/>
              <w:bottom w:val="single" w:color="000000" w:sz="6" w:space="0"/>
              <w:right w:val="single" w:color="auto" w:sz="4" w:space="0"/>
            </w:tcBorders>
            <w:vAlign w:val="center"/>
          </w:tcPr>
          <w:p w14:paraId="4FFADC4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《新编英语语法教程》（第六版，戴炜栋、章振邦主编，上海外语教育出版社）</w:t>
            </w:r>
          </w:p>
        </w:tc>
        <w:tc>
          <w:tcPr>
            <w:tcW w:w="1400" w:type="dxa"/>
            <w:tcBorders>
              <w:top w:val="single" w:color="000000" w:sz="6" w:space="0"/>
              <w:left w:val="nil"/>
              <w:bottom w:val="single" w:color="000000" w:sz="6" w:space="0"/>
              <w:right w:val="single" w:color="auto" w:sz="4" w:space="0"/>
            </w:tcBorders>
            <w:vAlign w:val="center"/>
          </w:tcPr>
          <w:p w14:paraId="20BAED2C">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英语阅读</w:t>
            </w:r>
          </w:p>
        </w:tc>
        <w:tc>
          <w:tcPr>
            <w:tcW w:w="2246" w:type="dxa"/>
            <w:tcBorders>
              <w:top w:val="single" w:color="000000" w:sz="6" w:space="0"/>
              <w:left w:val="nil"/>
              <w:bottom w:val="single" w:color="000000" w:sz="6" w:space="0"/>
              <w:right w:val="single" w:color="auto" w:sz="4" w:space="0"/>
            </w:tcBorders>
            <w:vAlign w:val="center"/>
          </w:tcPr>
          <w:p w14:paraId="15FAE77E">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《现代大学英语 精读1》（第三版，李朝晖、叶如帆 编，外语教学与研究出版社）</w:t>
            </w:r>
          </w:p>
        </w:tc>
      </w:tr>
      <w:tr w14:paraId="46C34AB3">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977014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070101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5781F7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数学与应用数学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C5BCD9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数学分析</w:t>
            </w:r>
          </w:p>
        </w:tc>
        <w:tc>
          <w:tcPr>
            <w:tcW w:w="2600" w:type="dxa"/>
            <w:tcBorders>
              <w:top w:val="single" w:color="000000" w:sz="6" w:space="0"/>
              <w:left w:val="nil"/>
              <w:bottom w:val="single" w:color="000000" w:sz="6" w:space="0"/>
              <w:right w:val="single" w:color="auto" w:sz="4" w:space="0"/>
            </w:tcBorders>
            <w:vAlign w:val="center"/>
          </w:tcPr>
          <w:p w14:paraId="7704834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《数学分析》（上下册第五版或第六版，华东师范大学数学科学学院主编，高等教育出版社）</w:t>
            </w:r>
          </w:p>
        </w:tc>
        <w:tc>
          <w:tcPr>
            <w:tcW w:w="1400" w:type="dxa"/>
            <w:tcBorders>
              <w:top w:val="single" w:color="000000" w:sz="6" w:space="0"/>
              <w:left w:val="nil"/>
              <w:bottom w:val="single" w:color="000000" w:sz="6" w:space="0"/>
              <w:right w:val="single" w:color="auto" w:sz="4" w:space="0"/>
            </w:tcBorders>
            <w:vAlign w:val="center"/>
          </w:tcPr>
          <w:p w14:paraId="58EA8D31">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高等代数</w:t>
            </w:r>
          </w:p>
        </w:tc>
        <w:tc>
          <w:tcPr>
            <w:tcW w:w="2246" w:type="dxa"/>
            <w:tcBorders>
              <w:top w:val="single" w:color="000000" w:sz="6" w:space="0"/>
              <w:left w:val="nil"/>
              <w:bottom w:val="single" w:color="000000" w:sz="6" w:space="0"/>
              <w:right w:val="single" w:color="auto" w:sz="4" w:space="0"/>
            </w:tcBorders>
            <w:vAlign w:val="center"/>
          </w:tcPr>
          <w:p w14:paraId="71F101F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《高等代数》（第五版，北京大学数学系前代数小组编，王萼芳、石生明修订，高等教育出版社）</w:t>
            </w:r>
          </w:p>
        </w:tc>
      </w:tr>
      <w:tr w14:paraId="78456E92">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667245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071001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DEB3FD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生物科学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54FD8B40">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植物学</w:t>
            </w:r>
          </w:p>
        </w:tc>
        <w:tc>
          <w:tcPr>
            <w:tcW w:w="2600" w:type="dxa"/>
            <w:tcBorders>
              <w:top w:val="single" w:color="000000" w:sz="6" w:space="0"/>
              <w:left w:val="nil"/>
              <w:bottom w:val="single" w:color="000000" w:sz="6" w:space="0"/>
              <w:right w:val="single" w:color="auto" w:sz="4" w:space="0"/>
            </w:tcBorders>
            <w:vAlign w:val="center"/>
          </w:tcPr>
          <w:p w14:paraId="5FFEEAFB">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《植物学》（第三版，王丽、王朝辉主编，高等教育出版社）</w:t>
            </w:r>
          </w:p>
        </w:tc>
        <w:tc>
          <w:tcPr>
            <w:tcW w:w="1400" w:type="dxa"/>
            <w:tcBorders>
              <w:top w:val="single" w:color="000000" w:sz="6" w:space="0"/>
              <w:left w:val="nil"/>
              <w:bottom w:val="single" w:color="000000" w:sz="6" w:space="0"/>
              <w:right w:val="single" w:color="auto" w:sz="4" w:space="0"/>
            </w:tcBorders>
            <w:vAlign w:val="center"/>
          </w:tcPr>
          <w:p w14:paraId="1DD3F62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微生物学</w:t>
            </w:r>
          </w:p>
        </w:tc>
        <w:tc>
          <w:tcPr>
            <w:tcW w:w="2246" w:type="dxa"/>
            <w:tcBorders>
              <w:top w:val="single" w:color="000000" w:sz="6" w:space="0"/>
              <w:left w:val="nil"/>
              <w:bottom w:val="single" w:color="000000" w:sz="6" w:space="0"/>
              <w:right w:val="single" w:color="auto" w:sz="4" w:space="0"/>
            </w:tcBorders>
            <w:vAlign w:val="center"/>
          </w:tcPr>
          <w:p w14:paraId="665B9974">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《微生物学教程》(第四版,周德庆主编,高等教育出版社）</w:t>
            </w:r>
          </w:p>
        </w:tc>
      </w:tr>
      <w:tr w14:paraId="05A66069">
        <w:tblPrEx>
          <w:tblCellMar>
            <w:top w:w="0" w:type="dxa"/>
            <w:left w:w="0" w:type="dxa"/>
            <w:bottom w:w="0" w:type="dxa"/>
            <w:right w:w="0" w:type="dxa"/>
          </w:tblCellMar>
        </w:tblPrEx>
        <w:trPr>
          <w:trHeight w:val="666"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4857B6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080202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FDB45B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机械设计制造及其自动化</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A0DE1D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工程力学</w:t>
            </w:r>
          </w:p>
        </w:tc>
        <w:tc>
          <w:tcPr>
            <w:tcW w:w="2600" w:type="dxa"/>
            <w:tcBorders>
              <w:top w:val="single" w:color="000000" w:sz="6" w:space="0"/>
              <w:left w:val="nil"/>
              <w:bottom w:val="single" w:color="000000" w:sz="6" w:space="0"/>
              <w:right w:val="single" w:color="auto" w:sz="4" w:space="0"/>
            </w:tcBorders>
            <w:vAlign w:val="center"/>
          </w:tcPr>
          <w:p w14:paraId="5852E51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《工程力学（静力学与材料力学）》（第三版，王永廉、方建士主编，机械工业出版社）</w:t>
            </w:r>
          </w:p>
        </w:tc>
        <w:tc>
          <w:tcPr>
            <w:tcW w:w="1400" w:type="dxa"/>
            <w:tcBorders>
              <w:top w:val="single" w:color="000000" w:sz="6" w:space="0"/>
              <w:left w:val="nil"/>
              <w:bottom w:val="single" w:color="000000" w:sz="6" w:space="0"/>
              <w:right w:val="single" w:color="auto" w:sz="4" w:space="0"/>
            </w:tcBorders>
            <w:vAlign w:val="center"/>
          </w:tcPr>
          <w:p w14:paraId="319D813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机械设计基础</w:t>
            </w:r>
          </w:p>
        </w:tc>
        <w:tc>
          <w:tcPr>
            <w:tcW w:w="2246" w:type="dxa"/>
            <w:tcBorders>
              <w:top w:val="single" w:color="000000" w:sz="6" w:space="0"/>
              <w:left w:val="nil"/>
              <w:bottom w:val="single" w:color="000000" w:sz="6" w:space="0"/>
              <w:right w:val="single" w:color="auto" w:sz="4" w:space="0"/>
            </w:tcBorders>
            <w:vAlign w:val="center"/>
          </w:tcPr>
          <w:p w14:paraId="3A24A57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《机械设计基础》（第七版，杨可桢、程光蕴、李仲生编，高等教育出版社）</w:t>
            </w:r>
          </w:p>
        </w:tc>
      </w:tr>
      <w:tr w14:paraId="356B8224">
        <w:tblPrEx>
          <w:tblCellMar>
            <w:top w:w="0" w:type="dxa"/>
            <w:left w:w="0" w:type="dxa"/>
            <w:bottom w:w="0" w:type="dxa"/>
            <w:right w:w="0" w:type="dxa"/>
          </w:tblCellMar>
        </w:tblPrEx>
        <w:trPr>
          <w:trHeight w:val="1203"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1ED8B1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080407</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00FD447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高分子材料与工程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F38B75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无机化学</w:t>
            </w:r>
          </w:p>
        </w:tc>
        <w:tc>
          <w:tcPr>
            <w:tcW w:w="2600" w:type="dxa"/>
            <w:tcBorders>
              <w:top w:val="single" w:color="000000" w:sz="6" w:space="0"/>
              <w:left w:val="nil"/>
              <w:bottom w:val="single" w:color="000000" w:sz="6" w:space="0"/>
              <w:right w:val="single" w:color="auto" w:sz="4" w:space="0"/>
            </w:tcBorders>
            <w:vAlign w:val="center"/>
          </w:tcPr>
          <w:p w14:paraId="4137D771">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 xml:space="preserve">《无机化学》（第六版，大连理工大学无机化学教研室编，高等教育出版社） </w:t>
            </w:r>
          </w:p>
        </w:tc>
        <w:tc>
          <w:tcPr>
            <w:tcW w:w="1400" w:type="dxa"/>
            <w:tcBorders>
              <w:top w:val="single" w:color="000000" w:sz="6" w:space="0"/>
              <w:left w:val="nil"/>
              <w:bottom w:val="single" w:color="000000" w:sz="6" w:space="0"/>
              <w:right w:val="single" w:color="auto" w:sz="4" w:space="0"/>
            </w:tcBorders>
            <w:vAlign w:val="center"/>
          </w:tcPr>
          <w:p w14:paraId="0DDF49B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分析化学</w:t>
            </w:r>
          </w:p>
        </w:tc>
        <w:tc>
          <w:tcPr>
            <w:tcW w:w="2246" w:type="dxa"/>
            <w:tcBorders>
              <w:top w:val="single" w:color="000000" w:sz="6" w:space="0"/>
              <w:left w:val="nil"/>
              <w:bottom w:val="single" w:color="000000" w:sz="6" w:space="0"/>
              <w:right w:val="single" w:color="auto" w:sz="4" w:space="0"/>
            </w:tcBorders>
            <w:vAlign w:val="center"/>
          </w:tcPr>
          <w:p w14:paraId="6AC9CD5B">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《分析化学》（第五版，华中师范大学等编，高等教育出版社）</w:t>
            </w:r>
          </w:p>
        </w:tc>
      </w:tr>
      <w:tr w14:paraId="04D0F684">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F98EB3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081001</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18845EC5">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土木工程</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2934717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混凝土结构</w:t>
            </w:r>
          </w:p>
        </w:tc>
        <w:tc>
          <w:tcPr>
            <w:tcW w:w="2600" w:type="dxa"/>
            <w:tcBorders>
              <w:top w:val="single" w:color="000000" w:sz="6" w:space="0"/>
              <w:left w:val="nil"/>
              <w:bottom w:val="single" w:color="000000" w:sz="6" w:space="0"/>
              <w:right w:val="single" w:color="auto" w:sz="4" w:space="0"/>
            </w:tcBorders>
            <w:vAlign w:val="center"/>
          </w:tcPr>
          <w:p w14:paraId="69601D0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《混凝土结构（上册）——混凝土结构设计原理》（第七版，东南大学、天津大学、同济大学主编，中国建筑工业出版社）</w:t>
            </w:r>
          </w:p>
        </w:tc>
        <w:tc>
          <w:tcPr>
            <w:tcW w:w="1400" w:type="dxa"/>
            <w:tcBorders>
              <w:top w:val="single" w:color="000000" w:sz="6" w:space="0"/>
              <w:left w:val="nil"/>
              <w:bottom w:val="single" w:color="000000" w:sz="6" w:space="0"/>
              <w:right w:val="single" w:color="auto" w:sz="4" w:space="0"/>
            </w:tcBorders>
            <w:vAlign w:val="center"/>
          </w:tcPr>
          <w:p w14:paraId="5BF21AD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建筑材料</w:t>
            </w:r>
          </w:p>
        </w:tc>
        <w:tc>
          <w:tcPr>
            <w:tcW w:w="2246" w:type="dxa"/>
            <w:tcBorders>
              <w:top w:val="single" w:color="000000" w:sz="6" w:space="0"/>
              <w:left w:val="nil"/>
              <w:bottom w:val="single" w:color="000000" w:sz="6" w:space="0"/>
              <w:right w:val="single" w:color="auto" w:sz="4" w:space="0"/>
            </w:tcBorders>
            <w:vAlign w:val="center"/>
          </w:tcPr>
          <w:p w14:paraId="23E94788">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《土木工程材料》（第五版，苏达根主编，高等教育出版社）</w:t>
            </w:r>
          </w:p>
        </w:tc>
      </w:tr>
      <w:tr w14:paraId="7CFE3E51">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3D9C0B3">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3C2489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市场营销</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F6810E9">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管理学</w:t>
            </w:r>
          </w:p>
        </w:tc>
        <w:tc>
          <w:tcPr>
            <w:tcW w:w="2600" w:type="dxa"/>
            <w:tcBorders>
              <w:top w:val="single" w:color="000000" w:sz="6" w:space="0"/>
              <w:left w:val="nil"/>
              <w:bottom w:val="single" w:color="000000" w:sz="6" w:space="0"/>
              <w:right w:val="single" w:color="auto" w:sz="4" w:space="0"/>
            </w:tcBorders>
            <w:vAlign w:val="center"/>
          </w:tcPr>
          <w:p w14:paraId="44A4FDCA">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《管理学》（第二版，马克思主义理论研究和建设工程重点教材，高等教育出版社）</w:t>
            </w:r>
          </w:p>
        </w:tc>
        <w:tc>
          <w:tcPr>
            <w:tcW w:w="1400" w:type="dxa"/>
            <w:tcBorders>
              <w:top w:val="single" w:color="000000" w:sz="6" w:space="0"/>
              <w:left w:val="nil"/>
              <w:bottom w:val="single" w:color="000000" w:sz="6" w:space="0"/>
              <w:right w:val="single" w:color="auto" w:sz="4" w:space="0"/>
            </w:tcBorders>
            <w:vAlign w:val="center"/>
          </w:tcPr>
          <w:p w14:paraId="065DBA1A">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市场营销学</w:t>
            </w:r>
          </w:p>
        </w:tc>
        <w:tc>
          <w:tcPr>
            <w:tcW w:w="2246" w:type="dxa"/>
            <w:tcBorders>
              <w:top w:val="single" w:color="000000" w:sz="6" w:space="0"/>
              <w:left w:val="nil"/>
              <w:bottom w:val="single" w:color="000000" w:sz="6" w:space="0"/>
              <w:right w:val="single" w:color="auto" w:sz="4" w:space="0"/>
            </w:tcBorders>
            <w:vAlign w:val="center"/>
          </w:tcPr>
          <w:p w14:paraId="5FB8B34F">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《市场营销学通论》（第十版数字教材版，新编21世纪市场营销系列教材，郭国庆等编，中国人民大学出版社）</w:t>
            </w:r>
          </w:p>
        </w:tc>
      </w:tr>
      <w:tr w14:paraId="3BE2D697">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E883337">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120204</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2A21B1B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财务管理</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69AB0F5E">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基础会计</w:t>
            </w:r>
          </w:p>
        </w:tc>
        <w:tc>
          <w:tcPr>
            <w:tcW w:w="2600" w:type="dxa"/>
            <w:tcBorders>
              <w:top w:val="single" w:color="000000" w:sz="6" w:space="0"/>
              <w:left w:val="nil"/>
              <w:bottom w:val="single" w:color="000000" w:sz="6" w:space="0"/>
              <w:right w:val="single" w:color="auto" w:sz="4" w:space="0"/>
            </w:tcBorders>
            <w:vAlign w:val="center"/>
          </w:tcPr>
          <w:p w14:paraId="541DDC05">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《基础会计》（第八版，陈国辉、迟旭升编，东北财经大学出版社）</w:t>
            </w:r>
          </w:p>
        </w:tc>
        <w:tc>
          <w:tcPr>
            <w:tcW w:w="1400" w:type="dxa"/>
            <w:tcBorders>
              <w:top w:val="single" w:color="000000" w:sz="6" w:space="0"/>
              <w:left w:val="nil"/>
              <w:bottom w:val="single" w:color="000000" w:sz="6" w:space="0"/>
              <w:right w:val="single" w:color="auto" w:sz="4" w:space="0"/>
            </w:tcBorders>
            <w:vAlign w:val="center"/>
          </w:tcPr>
          <w:p w14:paraId="62798634">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财务管理</w:t>
            </w:r>
          </w:p>
        </w:tc>
        <w:tc>
          <w:tcPr>
            <w:tcW w:w="2246" w:type="dxa"/>
            <w:tcBorders>
              <w:top w:val="single" w:color="000000" w:sz="6" w:space="0"/>
              <w:left w:val="nil"/>
              <w:bottom w:val="single" w:color="000000" w:sz="6" w:space="0"/>
              <w:right w:val="single" w:color="auto" w:sz="4" w:space="0"/>
            </w:tcBorders>
            <w:vAlign w:val="center"/>
          </w:tcPr>
          <w:p w14:paraId="6614BB99">
            <w:pPr>
              <w:keepNext w:val="0"/>
              <w:keepLines w:val="0"/>
              <w:widowControl/>
              <w:suppressLineNumbers w:val="0"/>
              <w:wordWrap/>
              <w:spacing w:line="240" w:lineRule="auto"/>
              <w:jc w:val="left"/>
              <w:textAlignment w:val="center"/>
              <w:rPr>
                <w:rFonts w:hint="default" w:ascii="仿宋_GB2312" w:hAnsi="仿宋_GB2312" w:eastAsia="仿宋_GB2312" w:cs="仿宋_GB2312"/>
                <w:color w:val="auto"/>
                <w:kern w:val="0"/>
                <w:sz w:val="21"/>
                <w:szCs w:val="21"/>
                <w:lang w:val="en-US" w:bidi="ar"/>
              </w:rPr>
            </w:pPr>
            <w:r>
              <w:rPr>
                <w:rFonts w:hint="eastAsia" w:ascii="仿宋_GB2312" w:hAnsi="仿宋_GB2312" w:eastAsia="仿宋_GB2312" w:cs="仿宋_GB2312"/>
                <w:color w:val="000000"/>
                <w:kern w:val="0"/>
                <w:sz w:val="21"/>
                <w:szCs w:val="21"/>
                <w:lang w:val="en-US" w:eastAsia="zh-CN" w:bidi="ar"/>
              </w:rPr>
              <w:t>《初级财务管理》（第五版，沈洪涛、樊莹、罗淑贞编，东北财经大学出版社）</w:t>
            </w:r>
          </w:p>
        </w:tc>
      </w:tr>
      <w:tr w14:paraId="07B8E898">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6417722">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120901K</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188411EB">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旅游管理</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1DB0318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旅游学概论</w:t>
            </w:r>
          </w:p>
        </w:tc>
        <w:tc>
          <w:tcPr>
            <w:tcW w:w="2600" w:type="dxa"/>
            <w:tcBorders>
              <w:top w:val="single" w:color="000000" w:sz="6" w:space="0"/>
              <w:left w:val="nil"/>
              <w:bottom w:val="single" w:color="000000" w:sz="6" w:space="0"/>
              <w:right w:val="single" w:color="auto" w:sz="4" w:space="0"/>
            </w:tcBorders>
            <w:vAlign w:val="center"/>
          </w:tcPr>
          <w:p w14:paraId="5FA15E2D">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《旅游学》（第四版，李天元、张朝枝、白凯编，高等教育出版社）</w:t>
            </w:r>
          </w:p>
        </w:tc>
        <w:tc>
          <w:tcPr>
            <w:tcW w:w="1400" w:type="dxa"/>
            <w:tcBorders>
              <w:top w:val="single" w:color="000000" w:sz="6" w:space="0"/>
              <w:left w:val="nil"/>
              <w:bottom w:val="single" w:color="000000" w:sz="6" w:space="0"/>
              <w:right w:val="single" w:color="auto" w:sz="4" w:space="0"/>
            </w:tcBorders>
            <w:vAlign w:val="center"/>
          </w:tcPr>
          <w:p w14:paraId="0B69A52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旅游市场营销</w:t>
            </w:r>
          </w:p>
        </w:tc>
        <w:tc>
          <w:tcPr>
            <w:tcW w:w="2246" w:type="dxa"/>
            <w:tcBorders>
              <w:top w:val="single" w:color="000000" w:sz="6" w:space="0"/>
              <w:left w:val="nil"/>
              <w:bottom w:val="single" w:color="000000" w:sz="6" w:space="0"/>
              <w:right w:val="single" w:color="auto" w:sz="4" w:space="0"/>
            </w:tcBorders>
            <w:vAlign w:val="center"/>
          </w:tcPr>
          <w:p w14:paraId="34068E0C">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《旅游市场营销》（第五版，郭英之、张苗、刘赛编，东北财经大学出版社）</w:t>
            </w:r>
          </w:p>
        </w:tc>
      </w:tr>
      <w:tr w14:paraId="3941649D">
        <w:tblPrEx>
          <w:tblCellMar>
            <w:top w:w="0" w:type="dxa"/>
            <w:left w:w="0" w:type="dxa"/>
            <w:bottom w:w="0" w:type="dxa"/>
            <w:right w:w="0" w:type="dxa"/>
          </w:tblCellMar>
        </w:tblPrEx>
        <w:trPr>
          <w:trHeight w:val="437" w:hRule="atLeast"/>
          <w:jc w:val="center"/>
        </w:trPr>
        <w:tc>
          <w:tcPr>
            <w:tcW w:w="106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9A7C32D">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130202</w:t>
            </w:r>
          </w:p>
        </w:tc>
        <w:tc>
          <w:tcPr>
            <w:tcW w:w="1287"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3F76E9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音乐学</w:t>
            </w:r>
          </w:p>
        </w:tc>
        <w:tc>
          <w:tcPr>
            <w:tcW w:w="1263"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14:paraId="065A5726">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声乐</w:t>
            </w:r>
          </w:p>
        </w:tc>
        <w:tc>
          <w:tcPr>
            <w:tcW w:w="2600" w:type="dxa"/>
            <w:tcBorders>
              <w:top w:val="single" w:color="000000" w:sz="6" w:space="0"/>
              <w:left w:val="nil"/>
              <w:bottom w:val="single" w:color="000000" w:sz="6" w:space="0"/>
              <w:right w:val="single" w:color="auto" w:sz="4" w:space="0"/>
            </w:tcBorders>
            <w:vAlign w:val="center"/>
          </w:tcPr>
          <w:p w14:paraId="2BE0F8B8">
            <w:pPr>
              <w:jc w:val="both"/>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民族唱法、美声唱法、流行唱法任选一种</w:t>
            </w:r>
          </w:p>
        </w:tc>
        <w:tc>
          <w:tcPr>
            <w:tcW w:w="1400" w:type="dxa"/>
            <w:tcBorders>
              <w:top w:val="single" w:color="000000" w:sz="6" w:space="0"/>
              <w:left w:val="nil"/>
              <w:bottom w:val="single" w:color="000000" w:sz="6" w:space="0"/>
              <w:right w:val="single" w:color="auto" w:sz="4" w:space="0"/>
            </w:tcBorders>
            <w:vAlign w:val="center"/>
          </w:tcPr>
          <w:p w14:paraId="52CDFA6F">
            <w:pPr>
              <w:keepNext w:val="0"/>
              <w:keepLines w:val="0"/>
              <w:widowControl/>
              <w:suppressLineNumbers w:val="0"/>
              <w:wordWrap/>
              <w:spacing w:line="240" w:lineRule="auto"/>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000000"/>
                <w:kern w:val="0"/>
                <w:sz w:val="21"/>
                <w:szCs w:val="21"/>
                <w:lang w:val="en-US" w:eastAsia="zh-CN" w:bidi="ar"/>
              </w:rPr>
              <w:t>器乐演奏</w:t>
            </w:r>
          </w:p>
        </w:tc>
        <w:tc>
          <w:tcPr>
            <w:tcW w:w="2246" w:type="dxa"/>
            <w:tcBorders>
              <w:top w:val="single" w:color="000000" w:sz="6" w:space="0"/>
              <w:left w:val="nil"/>
              <w:bottom w:val="single" w:color="000000" w:sz="6" w:space="0"/>
              <w:right w:val="single" w:color="auto" w:sz="4" w:space="0"/>
            </w:tcBorders>
            <w:vAlign w:val="center"/>
          </w:tcPr>
          <w:p w14:paraId="6E819757">
            <w:pPr>
              <w:keepNext w:val="0"/>
              <w:keepLines w:val="0"/>
              <w:widowControl/>
              <w:suppressLineNumbers w:val="0"/>
              <w:wordWrap/>
              <w:spacing w:line="240" w:lineRule="auto"/>
              <w:jc w:val="left"/>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000000"/>
                <w:kern w:val="0"/>
                <w:sz w:val="21"/>
                <w:szCs w:val="21"/>
                <w:lang w:val="en-US" w:eastAsia="zh-CN" w:bidi="ar"/>
              </w:rPr>
              <w:t>任选一首器乐曲目（仅提供钢琴）</w:t>
            </w:r>
          </w:p>
        </w:tc>
      </w:tr>
    </w:tbl>
    <w:p w14:paraId="740BA9EE">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五、成绩公布</w:t>
      </w:r>
    </w:p>
    <w:p w14:paraId="7E830D30">
      <w:pPr>
        <w:widowControl/>
        <w:spacing w:line="560" w:lineRule="exact"/>
        <w:ind w:firstLine="640" w:firstLineChars="200"/>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年3月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日在我校招生信息网公布测试结果。测试结果分“合格”和“不合格”。根据招生专业本科阶段学习需要，</w:t>
      </w:r>
      <w:r>
        <w:rPr>
          <w:rFonts w:hint="eastAsia" w:ascii="仿宋_GB2312" w:hAnsi="仿宋_GB2312" w:eastAsia="仿宋_GB2312" w:cs="仿宋_GB2312"/>
          <w:b/>
          <w:bCs/>
          <w:color w:val="FF0000"/>
          <w:kern w:val="0"/>
          <w:sz w:val="32"/>
          <w:szCs w:val="32"/>
        </w:rPr>
        <w:t>我校专业综合能力测试合格标准为考试科目1和考试科目2单科成绩均为60分及以上。</w:t>
      </w:r>
    </w:p>
    <w:p w14:paraId="049DE2D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考生可登录我校招生信息网自荐考生报名系统查询个人测试成绩，如有异议，可于3月</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日前提出复核申请（附件2）进行成绩复核，我校将在2个工作日内电话通知考生复核结果。复核结果为最终结论。</w:t>
      </w:r>
    </w:p>
    <w:p w14:paraId="381474C7">
      <w:pPr>
        <w:widowControl/>
        <w:spacing w:line="560"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六、收费标准</w:t>
      </w:r>
    </w:p>
    <w:p w14:paraId="03D0B6E3">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格按照山东省教育厅、财政厅等文件规定的标准收费。我校学费实行学分制收费，专升本学生的学费标准与普通本科相应专业学费标准相同。实际收费按照学生在校实际选课学分，按学期收取学分学费；同时按照专业注册学费标准，每学年收取专业注册学费。</w:t>
      </w:r>
    </w:p>
    <w:p w14:paraId="7904C59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咨询电话：0538-6715631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2026年2月23日9:00后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 </w:t>
      </w:r>
    </w:p>
    <w:p w14:paraId="471DAC6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招生信息网：</w:t>
      </w:r>
      <w:r>
        <w:rPr>
          <w:color w:val="auto"/>
        </w:rPr>
        <w:fldChar w:fldCharType="begin"/>
      </w:r>
      <w:r>
        <w:rPr>
          <w:color w:val="auto"/>
        </w:rPr>
        <w:instrText xml:space="preserve"> HYPERLINK "http://zhaosheng.tsu.edu.cn/" </w:instrText>
      </w:r>
      <w:r>
        <w:rPr>
          <w:color w:val="auto"/>
        </w:rPr>
        <w:fldChar w:fldCharType="separate"/>
      </w:r>
      <w:r>
        <w:rPr>
          <w:rFonts w:hint="eastAsia" w:ascii="仿宋_GB2312" w:hAnsi="仿宋_GB2312" w:eastAsia="仿宋_GB2312" w:cs="仿宋_GB2312"/>
          <w:color w:val="auto"/>
          <w:kern w:val="0"/>
          <w:sz w:val="32"/>
          <w:szCs w:val="32"/>
        </w:rPr>
        <w:t>http://zhaosheng.tsu.edu.cn</w:t>
      </w:r>
      <w:r>
        <w:rPr>
          <w:rFonts w:hint="eastAsia" w:ascii="仿宋_GB2312" w:hAnsi="仿宋_GB2312" w:eastAsia="仿宋_GB2312" w:cs="仿宋_GB2312"/>
          <w:color w:val="auto"/>
          <w:kern w:val="0"/>
          <w:sz w:val="32"/>
          <w:szCs w:val="32"/>
        </w:rPr>
        <w:fldChar w:fldCharType="end"/>
      </w:r>
    </w:p>
    <w:p w14:paraId="586C47EE">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学校地址：泰安市东岳大街525号</w:t>
      </w:r>
    </w:p>
    <w:p w14:paraId="4D10651B">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附件：1.山东省</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年普通高校专科应届毕业生学籍证明</w:t>
      </w:r>
    </w:p>
    <w:p w14:paraId="09038904">
      <w:pPr>
        <w:widowControl/>
        <w:spacing w:line="560" w:lineRule="exact"/>
        <w:ind w:left="1916" w:leftChars="760" w:hanging="320" w:hanging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年专升本自荐考生专业综合能力测试成绩复核申请表</w:t>
      </w:r>
    </w:p>
    <w:p w14:paraId="67AC0783">
      <w:pPr>
        <w:widowControl/>
        <w:spacing w:line="560" w:lineRule="exact"/>
        <w:ind w:firstLine="1600" w:firstLineChars="5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3.诚信考试承诺书</w:t>
      </w:r>
    </w:p>
    <w:p w14:paraId="4DA91B1C">
      <w:pPr>
        <w:widowControl/>
        <w:spacing w:line="560" w:lineRule="exact"/>
        <w:ind w:firstLine="6400" w:firstLineChars="20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泰山学院</w:t>
      </w:r>
    </w:p>
    <w:p w14:paraId="6B81D7F0">
      <w:pPr>
        <w:widowControl/>
        <w:spacing w:line="560" w:lineRule="exact"/>
        <w:ind w:firstLine="6080" w:firstLineChars="1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年2月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日</w:t>
      </w:r>
    </w:p>
    <w:p w14:paraId="0FBFDCA3">
      <w:pPr>
        <w:spacing w:line="560" w:lineRule="exact"/>
        <w:rPr>
          <w:rFonts w:ascii="黑体" w:hAnsi="黑体" w:eastAsia="黑体" w:cs="黑体"/>
          <w:color w:val="auto"/>
          <w:sz w:val="32"/>
          <w:szCs w:val="32"/>
        </w:rPr>
      </w:pPr>
    </w:p>
    <w:p w14:paraId="7B752B4E">
      <w:pPr>
        <w:spacing w:line="560" w:lineRule="exact"/>
        <w:rPr>
          <w:rFonts w:hint="eastAsia" w:ascii="黑体" w:hAnsi="黑体" w:eastAsia="黑体" w:cs="黑体"/>
          <w:color w:val="auto"/>
          <w:sz w:val="32"/>
          <w:szCs w:val="32"/>
        </w:rPr>
      </w:pPr>
    </w:p>
    <w:p w14:paraId="52BA3C2E">
      <w:pPr>
        <w:spacing w:line="580" w:lineRule="exact"/>
        <w:rPr>
          <w:rFonts w:hint="eastAsia" w:ascii="黑体" w:hAnsi="黑体" w:eastAsia="黑体"/>
          <w:color w:val="auto"/>
          <w:sz w:val="32"/>
          <w:szCs w:val="32"/>
        </w:rPr>
      </w:pPr>
    </w:p>
    <w:p w14:paraId="646C888B">
      <w:pPr>
        <w:spacing w:line="580" w:lineRule="exact"/>
        <w:rPr>
          <w:rFonts w:hint="eastAsia" w:ascii="黑体" w:hAnsi="黑体" w:eastAsia="黑体"/>
          <w:color w:val="auto"/>
          <w:sz w:val="32"/>
          <w:szCs w:val="32"/>
        </w:rPr>
      </w:pPr>
    </w:p>
    <w:p w14:paraId="4325F622">
      <w:pPr>
        <w:spacing w:line="580" w:lineRule="exact"/>
        <w:rPr>
          <w:rFonts w:hint="eastAsia" w:ascii="黑体" w:hAnsi="黑体" w:eastAsia="黑体"/>
          <w:color w:val="auto"/>
          <w:sz w:val="32"/>
          <w:szCs w:val="32"/>
        </w:rPr>
      </w:pPr>
    </w:p>
    <w:p w14:paraId="00C72A9B">
      <w:pPr>
        <w:spacing w:line="580" w:lineRule="exact"/>
        <w:rPr>
          <w:rFonts w:hint="eastAsia" w:ascii="黑体" w:hAnsi="黑体" w:eastAsia="黑体"/>
          <w:color w:val="auto"/>
          <w:sz w:val="32"/>
          <w:szCs w:val="32"/>
        </w:rPr>
      </w:pPr>
    </w:p>
    <w:p w14:paraId="4A35395A">
      <w:pPr>
        <w:spacing w:line="580" w:lineRule="exact"/>
        <w:rPr>
          <w:rFonts w:hint="eastAsia" w:ascii="黑体" w:hAnsi="黑体" w:eastAsia="黑体"/>
          <w:color w:val="auto"/>
          <w:sz w:val="32"/>
          <w:szCs w:val="32"/>
        </w:rPr>
      </w:pPr>
    </w:p>
    <w:p w14:paraId="5B7C75D4">
      <w:pPr>
        <w:spacing w:line="580" w:lineRule="exact"/>
        <w:rPr>
          <w:rFonts w:hint="eastAsia" w:ascii="黑体" w:hAnsi="黑体" w:eastAsia="黑体"/>
          <w:color w:val="auto"/>
          <w:sz w:val="32"/>
          <w:szCs w:val="32"/>
        </w:rPr>
      </w:pPr>
    </w:p>
    <w:p w14:paraId="480F6612">
      <w:pPr>
        <w:spacing w:line="580" w:lineRule="exact"/>
        <w:rPr>
          <w:rFonts w:hint="eastAsia" w:ascii="黑体" w:hAnsi="黑体" w:eastAsia="黑体"/>
          <w:color w:val="auto"/>
          <w:sz w:val="32"/>
          <w:szCs w:val="32"/>
        </w:rPr>
      </w:pPr>
    </w:p>
    <w:p w14:paraId="3693EE4D">
      <w:pPr>
        <w:spacing w:line="580" w:lineRule="exact"/>
        <w:rPr>
          <w:rFonts w:hint="eastAsia" w:ascii="黑体" w:hAnsi="黑体" w:eastAsia="黑体"/>
          <w:color w:val="auto"/>
          <w:sz w:val="32"/>
          <w:szCs w:val="32"/>
        </w:rPr>
      </w:pPr>
    </w:p>
    <w:p w14:paraId="3A2669B2">
      <w:pPr>
        <w:spacing w:line="580" w:lineRule="exact"/>
        <w:rPr>
          <w:rFonts w:hint="eastAsia" w:ascii="黑体" w:hAnsi="黑体" w:eastAsia="黑体"/>
          <w:color w:val="auto"/>
          <w:szCs w:val="21"/>
        </w:rPr>
      </w:pPr>
      <w:r>
        <w:rPr>
          <w:rFonts w:hint="eastAsia" w:ascii="黑体" w:hAnsi="黑体" w:eastAsia="黑体"/>
          <w:color w:val="auto"/>
          <w:sz w:val="32"/>
          <w:szCs w:val="32"/>
        </w:rPr>
        <w:t>附件1</w:t>
      </w:r>
    </w:p>
    <w:p w14:paraId="441AA4A2">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山东省</w:t>
      </w:r>
      <w:r>
        <w:rPr>
          <w:rFonts w:hint="eastAsia" w:ascii="方正小标宋简体" w:hAnsi="方正小标宋简体" w:eastAsia="方正小标宋简体"/>
          <w:color w:val="auto"/>
          <w:sz w:val="44"/>
          <w:szCs w:val="44"/>
          <w:lang w:eastAsia="zh-CN"/>
        </w:rPr>
        <w:t>2026</w:t>
      </w:r>
      <w:r>
        <w:rPr>
          <w:rFonts w:hint="eastAsia" w:ascii="方正小标宋简体" w:hAnsi="方正小标宋简体" w:eastAsia="方正小标宋简体"/>
          <w:color w:val="auto"/>
          <w:sz w:val="44"/>
          <w:szCs w:val="44"/>
        </w:rPr>
        <w:t>年普通高校专科应届毕业生</w:t>
      </w:r>
    </w:p>
    <w:p w14:paraId="6064BD51">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学籍证明（参考模板）</w:t>
      </w:r>
    </w:p>
    <w:p w14:paraId="57F8A67A">
      <w:pPr>
        <w:spacing w:line="580" w:lineRule="exact"/>
        <w:jc w:val="center"/>
        <w:rPr>
          <w:rFonts w:hint="eastAsia" w:ascii="方正小标宋简体" w:hAnsi="方正小标宋简体" w:eastAsia="方正小标宋简体"/>
          <w:color w:val="auto"/>
          <w:sz w:val="44"/>
          <w:szCs w:val="44"/>
        </w:rPr>
      </w:pPr>
      <w:r>
        <w:rPr>
          <w:rFonts w:hint="eastAsia" w:ascii="方正小标宋简体" w:hAnsi="方正小标宋简体" w:eastAsia="方正小标宋简体"/>
          <w:color w:val="auto"/>
          <w:sz w:val="44"/>
          <w:szCs w:val="44"/>
        </w:rPr>
        <w:t xml:space="preserve"> </w:t>
      </w:r>
    </w:p>
    <w:p w14:paraId="6799C78E">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兹有我校</w:t>
      </w:r>
      <w:r>
        <w:rPr>
          <w:rFonts w:hint="eastAsia" w:ascii="仿宋_GB2312" w:eastAsia="仿宋_GB2312"/>
          <w:color w:val="auto"/>
          <w:sz w:val="32"/>
          <w:szCs w:val="32"/>
          <w:lang w:eastAsia="zh-CN"/>
        </w:rPr>
        <w:t>2026</w:t>
      </w:r>
      <w:r>
        <w:rPr>
          <w:rFonts w:hint="eastAsia" w:ascii="仿宋_GB2312" w:eastAsia="仿宋_GB2312"/>
          <w:color w:val="auto"/>
          <w:sz w:val="32"/>
          <w:szCs w:val="32"/>
        </w:rPr>
        <w:t>届专科应届毕业生姓名</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 ，身份证号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，现就读于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专业（专业名称填写应规范准确、一字不差）。经核查，该生在我校就读期间，无以下情况：</w:t>
      </w:r>
    </w:p>
    <w:p w14:paraId="57FC6C37">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1.因触犯刑法已被有关部门采取强制措施或正在服刑；</w:t>
      </w:r>
    </w:p>
    <w:p w14:paraId="531AF05B">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2.因违反国家教育考试规定被给予暂停参加高校招生考试处理且在停考期内；</w:t>
      </w:r>
    </w:p>
    <w:p w14:paraId="20E2FFF5">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3.专科阶段有记过及以上纪律处分且报名前未解除处分。</w:t>
      </w:r>
    </w:p>
    <w:p w14:paraId="2AA685AF">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特此证明。</w:t>
      </w:r>
    </w:p>
    <w:p w14:paraId="0E080F86">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3722BA48">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00079335">
      <w:pPr>
        <w:spacing w:line="580" w:lineRule="exact"/>
        <w:ind w:firstLine="4480" w:firstLineChars="1400"/>
        <w:rPr>
          <w:rFonts w:hint="eastAsia" w:ascii="仿宋_GB2312" w:eastAsia="仿宋_GB2312"/>
          <w:color w:val="auto"/>
          <w:sz w:val="32"/>
          <w:szCs w:val="32"/>
        </w:rPr>
      </w:pPr>
      <w:r>
        <w:rPr>
          <w:rFonts w:hint="eastAsia" w:ascii="仿宋_GB2312" w:eastAsia="仿宋_GB2312"/>
          <w:color w:val="auto"/>
          <w:sz w:val="32"/>
          <w:szCs w:val="32"/>
        </w:rPr>
        <w:t>生源高校学籍管理部门</w:t>
      </w:r>
    </w:p>
    <w:p w14:paraId="07474904">
      <w:pPr>
        <w:spacing w:line="580" w:lineRule="exact"/>
        <w:ind w:firstLine="4960" w:firstLineChars="1550"/>
        <w:rPr>
          <w:rFonts w:hint="eastAsia" w:ascii="仿宋_GB2312" w:eastAsia="仿宋_GB2312"/>
          <w:color w:val="auto"/>
          <w:sz w:val="32"/>
          <w:szCs w:val="32"/>
        </w:rPr>
      </w:pPr>
      <w:r>
        <w:rPr>
          <w:rFonts w:hint="eastAsia" w:ascii="仿宋_GB2312" w:eastAsia="仿宋_GB2312"/>
          <w:color w:val="auto"/>
          <w:sz w:val="32"/>
          <w:szCs w:val="32"/>
        </w:rPr>
        <w:t>（落款、盖章）</w:t>
      </w:r>
    </w:p>
    <w:p w14:paraId="64BA8274">
      <w:pPr>
        <w:rPr>
          <w:rFonts w:hint="eastAsia" w:ascii="黑体" w:hAnsi="黑体" w:eastAsia="黑体"/>
          <w:color w:val="auto"/>
          <w:szCs w:val="21"/>
        </w:rPr>
      </w:pPr>
      <w:r>
        <w:rPr>
          <w:rFonts w:hint="eastAsia" w:ascii="仿宋_GB2312" w:eastAsia="仿宋_GB2312"/>
          <w:color w:val="auto"/>
          <w:sz w:val="32"/>
          <w:szCs w:val="32"/>
        </w:rPr>
        <w:t xml:space="preserve">                                 年   月   日</w:t>
      </w:r>
    </w:p>
    <w:p w14:paraId="2FC231FE">
      <w:pPr>
        <w:spacing w:line="560" w:lineRule="exact"/>
        <w:rPr>
          <w:rFonts w:hint="eastAsia" w:ascii="黑体" w:hAnsi="黑体" w:eastAsia="黑体" w:cs="黑体"/>
          <w:color w:val="auto"/>
          <w:spacing w:val="-13"/>
          <w:sz w:val="32"/>
          <w:szCs w:val="32"/>
        </w:rPr>
      </w:pPr>
    </w:p>
    <w:p w14:paraId="77EDAE93">
      <w:pPr>
        <w:spacing w:line="560" w:lineRule="exact"/>
        <w:rPr>
          <w:rFonts w:hint="eastAsia" w:ascii="黑体" w:hAnsi="黑体" w:eastAsia="黑体" w:cs="黑体"/>
          <w:color w:val="auto"/>
          <w:spacing w:val="-13"/>
          <w:sz w:val="32"/>
          <w:szCs w:val="32"/>
        </w:rPr>
      </w:pPr>
    </w:p>
    <w:p w14:paraId="65BE82E2">
      <w:pPr>
        <w:spacing w:line="560" w:lineRule="exact"/>
        <w:rPr>
          <w:rFonts w:hint="eastAsia" w:ascii="黑体" w:hAnsi="黑体" w:eastAsia="黑体" w:cs="黑体"/>
          <w:color w:val="auto"/>
          <w:spacing w:val="-13"/>
          <w:sz w:val="32"/>
          <w:szCs w:val="32"/>
        </w:rPr>
      </w:pPr>
    </w:p>
    <w:p w14:paraId="328F4A2A">
      <w:pPr>
        <w:spacing w:line="560" w:lineRule="exact"/>
        <w:rPr>
          <w:rFonts w:hint="eastAsia" w:ascii="黑体" w:hAnsi="黑体" w:eastAsia="黑体" w:cs="黑体"/>
          <w:color w:val="auto"/>
          <w:spacing w:val="-13"/>
          <w:sz w:val="32"/>
          <w:szCs w:val="32"/>
        </w:rPr>
      </w:pPr>
    </w:p>
    <w:p w14:paraId="5CA68B3B">
      <w:pPr>
        <w:spacing w:line="560" w:lineRule="exact"/>
        <w:rPr>
          <w:rFonts w:hint="eastAsia" w:ascii="黑体" w:hAnsi="黑体" w:eastAsia="黑体" w:cs="黑体"/>
          <w:color w:val="auto"/>
          <w:spacing w:val="-13"/>
          <w:sz w:val="32"/>
          <w:szCs w:val="32"/>
        </w:rPr>
      </w:pPr>
    </w:p>
    <w:p w14:paraId="1576AE87">
      <w:pPr>
        <w:spacing w:line="560" w:lineRule="exact"/>
        <w:rPr>
          <w:rFonts w:hint="eastAsia" w:ascii="黑体" w:hAnsi="黑体" w:eastAsia="黑体" w:cs="黑体"/>
          <w:color w:val="auto"/>
          <w:spacing w:val="-13"/>
          <w:sz w:val="32"/>
          <w:szCs w:val="32"/>
        </w:rPr>
      </w:pPr>
      <w:r>
        <w:rPr>
          <w:rFonts w:hint="eastAsia" w:ascii="黑体" w:hAnsi="黑体" w:eastAsia="黑体" w:cs="黑体"/>
          <w:color w:val="auto"/>
          <w:spacing w:val="-13"/>
          <w:sz w:val="32"/>
          <w:szCs w:val="32"/>
        </w:rPr>
        <w:t>附件2</w:t>
      </w:r>
    </w:p>
    <w:p w14:paraId="05122559">
      <w:pPr>
        <w:widowControl/>
        <w:spacing w:line="560" w:lineRule="exact"/>
        <w:ind w:firstLine="880"/>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 xml:space="preserve">  泰山学院</w:t>
      </w:r>
      <w:r>
        <w:rPr>
          <w:rFonts w:hint="eastAsia" w:ascii="方正小标宋简体" w:hAnsi="方正小标宋简体" w:eastAsia="方正小标宋简体" w:cs="方正小标宋简体"/>
          <w:bCs/>
          <w:color w:val="auto"/>
          <w:sz w:val="44"/>
          <w:szCs w:val="44"/>
          <w:lang w:eastAsia="zh-CN"/>
        </w:rPr>
        <w:t>2026</w:t>
      </w:r>
      <w:r>
        <w:rPr>
          <w:rFonts w:hint="eastAsia" w:ascii="方正小标宋简体" w:hAnsi="方正小标宋简体" w:eastAsia="方正小标宋简体" w:cs="方正小标宋简体"/>
          <w:bCs/>
          <w:color w:val="auto"/>
          <w:sz w:val="44"/>
          <w:szCs w:val="44"/>
        </w:rPr>
        <w:t>年专升本自荐考生专业综合能力测试成绩复核申请表</w:t>
      </w:r>
    </w:p>
    <w:tbl>
      <w:tblPr>
        <w:tblStyle w:val="7"/>
        <w:tblpPr w:leftFromText="180" w:rightFromText="180" w:vertAnchor="text" w:horzAnchor="page" w:tblpX="1406" w:tblpY="547"/>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3318"/>
        <w:gridCol w:w="1571"/>
        <w:gridCol w:w="2747"/>
      </w:tblGrid>
      <w:tr w14:paraId="201B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2B33EEE0">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 请 人</w:t>
            </w:r>
          </w:p>
        </w:tc>
        <w:tc>
          <w:tcPr>
            <w:tcW w:w="3318" w:type="dxa"/>
            <w:tcBorders>
              <w:top w:val="single" w:color="auto" w:sz="4" w:space="0"/>
              <w:left w:val="single" w:color="auto" w:sz="4" w:space="0"/>
              <w:bottom w:val="single" w:color="auto" w:sz="4" w:space="0"/>
              <w:right w:val="single" w:color="auto" w:sz="4" w:space="0"/>
            </w:tcBorders>
            <w:vAlign w:val="center"/>
          </w:tcPr>
          <w:p w14:paraId="025FD65A">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31AEFF68">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身份证号</w:t>
            </w:r>
          </w:p>
        </w:tc>
        <w:tc>
          <w:tcPr>
            <w:tcW w:w="2747" w:type="dxa"/>
            <w:tcBorders>
              <w:top w:val="single" w:color="auto" w:sz="4" w:space="0"/>
              <w:left w:val="single" w:color="auto" w:sz="4" w:space="0"/>
              <w:bottom w:val="single" w:color="auto" w:sz="4" w:space="0"/>
              <w:right w:val="single" w:color="auto" w:sz="4" w:space="0"/>
            </w:tcBorders>
            <w:vAlign w:val="center"/>
          </w:tcPr>
          <w:p w14:paraId="218901EA">
            <w:pPr>
              <w:spacing w:line="560" w:lineRule="exact"/>
              <w:ind w:firstLine="643" w:firstLineChars="200"/>
              <w:jc w:val="center"/>
              <w:rPr>
                <w:rFonts w:hint="eastAsia" w:ascii="仿宋_GB2312" w:hAnsi="仿宋_GB2312" w:eastAsia="仿宋_GB2312" w:cs="仿宋_GB2312"/>
                <w:b/>
                <w:color w:val="auto"/>
                <w:sz w:val="32"/>
                <w:szCs w:val="32"/>
              </w:rPr>
            </w:pPr>
          </w:p>
        </w:tc>
      </w:tr>
      <w:tr w14:paraId="4D80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50F0C964">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专科学校</w:t>
            </w:r>
          </w:p>
        </w:tc>
        <w:tc>
          <w:tcPr>
            <w:tcW w:w="3318" w:type="dxa"/>
            <w:tcBorders>
              <w:top w:val="single" w:color="auto" w:sz="4" w:space="0"/>
              <w:left w:val="single" w:color="auto" w:sz="4" w:space="0"/>
              <w:bottom w:val="single" w:color="auto" w:sz="4" w:space="0"/>
              <w:right w:val="single" w:color="auto" w:sz="4" w:space="0"/>
            </w:tcBorders>
            <w:vAlign w:val="center"/>
          </w:tcPr>
          <w:p w14:paraId="406AEFEC">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61830E78">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报考专业</w:t>
            </w:r>
          </w:p>
        </w:tc>
        <w:tc>
          <w:tcPr>
            <w:tcW w:w="2747" w:type="dxa"/>
            <w:tcBorders>
              <w:top w:val="single" w:color="auto" w:sz="4" w:space="0"/>
              <w:left w:val="single" w:color="auto" w:sz="4" w:space="0"/>
              <w:bottom w:val="single" w:color="auto" w:sz="4" w:space="0"/>
              <w:right w:val="single" w:color="auto" w:sz="4" w:space="0"/>
            </w:tcBorders>
            <w:vAlign w:val="center"/>
          </w:tcPr>
          <w:p w14:paraId="7BCEF459">
            <w:pPr>
              <w:spacing w:line="560" w:lineRule="exact"/>
              <w:ind w:firstLine="643" w:firstLineChars="200"/>
              <w:jc w:val="center"/>
              <w:rPr>
                <w:rFonts w:hint="eastAsia" w:ascii="仿宋_GB2312" w:hAnsi="仿宋_GB2312" w:eastAsia="仿宋_GB2312" w:cs="仿宋_GB2312"/>
                <w:b/>
                <w:color w:val="auto"/>
                <w:sz w:val="32"/>
                <w:szCs w:val="32"/>
              </w:rPr>
            </w:pPr>
          </w:p>
        </w:tc>
      </w:tr>
      <w:tr w14:paraId="6443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64A89317">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考试科目</w:t>
            </w:r>
          </w:p>
        </w:tc>
        <w:tc>
          <w:tcPr>
            <w:tcW w:w="3318" w:type="dxa"/>
            <w:tcBorders>
              <w:top w:val="single" w:color="auto" w:sz="4" w:space="0"/>
              <w:left w:val="single" w:color="auto" w:sz="4" w:space="0"/>
              <w:bottom w:val="single" w:color="auto" w:sz="4" w:space="0"/>
              <w:right w:val="single" w:color="auto" w:sz="4" w:space="0"/>
            </w:tcBorders>
            <w:vAlign w:val="center"/>
          </w:tcPr>
          <w:p w14:paraId="321FB4C5">
            <w:pPr>
              <w:spacing w:line="560" w:lineRule="exact"/>
              <w:ind w:firstLine="643" w:firstLineChars="200"/>
              <w:jc w:val="center"/>
              <w:rPr>
                <w:rFonts w:hint="eastAsia" w:ascii="仿宋_GB2312" w:hAnsi="仿宋_GB2312" w:eastAsia="仿宋_GB2312" w:cs="仿宋_GB2312"/>
                <w:b/>
                <w:color w:val="auto"/>
                <w:sz w:val="32"/>
                <w:szCs w:val="32"/>
              </w:rPr>
            </w:pPr>
          </w:p>
        </w:tc>
        <w:tc>
          <w:tcPr>
            <w:tcW w:w="1571" w:type="dxa"/>
            <w:tcBorders>
              <w:top w:val="single" w:color="auto" w:sz="4" w:space="0"/>
              <w:left w:val="single" w:color="auto" w:sz="4" w:space="0"/>
              <w:bottom w:val="single" w:color="auto" w:sz="4" w:space="0"/>
              <w:right w:val="single" w:color="auto" w:sz="4" w:space="0"/>
            </w:tcBorders>
            <w:vAlign w:val="center"/>
          </w:tcPr>
          <w:p w14:paraId="0566B420">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成绩</w:t>
            </w:r>
          </w:p>
        </w:tc>
        <w:tc>
          <w:tcPr>
            <w:tcW w:w="2747" w:type="dxa"/>
            <w:tcBorders>
              <w:top w:val="single" w:color="auto" w:sz="4" w:space="0"/>
              <w:left w:val="single" w:color="auto" w:sz="4" w:space="0"/>
              <w:bottom w:val="single" w:color="auto" w:sz="4" w:space="0"/>
              <w:right w:val="single" w:color="auto" w:sz="4" w:space="0"/>
            </w:tcBorders>
            <w:vAlign w:val="center"/>
          </w:tcPr>
          <w:p w14:paraId="5018D8D6">
            <w:pPr>
              <w:spacing w:line="560" w:lineRule="exact"/>
              <w:ind w:firstLine="643" w:firstLineChars="200"/>
              <w:jc w:val="center"/>
              <w:rPr>
                <w:rFonts w:hint="eastAsia" w:ascii="仿宋_GB2312" w:hAnsi="仿宋_GB2312" w:eastAsia="仿宋_GB2312" w:cs="仿宋_GB2312"/>
                <w:b/>
                <w:color w:val="auto"/>
                <w:sz w:val="32"/>
                <w:szCs w:val="32"/>
              </w:rPr>
            </w:pPr>
          </w:p>
        </w:tc>
      </w:tr>
      <w:tr w14:paraId="5C31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4" w:type="dxa"/>
            <w:tcBorders>
              <w:top w:val="single" w:color="auto" w:sz="4" w:space="0"/>
              <w:left w:val="single" w:color="auto" w:sz="4" w:space="0"/>
              <w:bottom w:val="single" w:color="auto" w:sz="4" w:space="0"/>
              <w:right w:val="single" w:color="auto" w:sz="4" w:space="0"/>
            </w:tcBorders>
            <w:vAlign w:val="center"/>
          </w:tcPr>
          <w:p w14:paraId="07C06345">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联系方式</w:t>
            </w:r>
          </w:p>
        </w:tc>
        <w:tc>
          <w:tcPr>
            <w:tcW w:w="7636" w:type="dxa"/>
            <w:gridSpan w:val="3"/>
            <w:tcBorders>
              <w:top w:val="single" w:color="auto" w:sz="4" w:space="0"/>
              <w:left w:val="single" w:color="auto" w:sz="4" w:space="0"/>
              <w:bottom w:val="single" w:color="auto" w:sz="4" w:space="0"/>
              <w:right w:val="single" w:color="auto" w:sz="4" w:space="0"/>
            </w:tcBorders>
            <w:vAlign w:val="center"/>
          </w:tcPr>
          <w:p w14:paraId="7AAD0F53">
            <w:pPr>
              <w:spacing w:line="560" w:lineRule="exact"/>
              <w:ind w:firstLine="643" w:firstLineChars="200"/>
              <w:jc w:val="center"/>
              <w:rPr>
                <w:rFonts w:hint="eastAsia" w:ascii="仿宋_GB2312" w:hAnsi="仿宋_GB2312" w:eastAsia="仿宋_GB2312" w:cs="仿宋_GB2312"/>
                <w:b/>
                <w:color w:val="auto"/>
                <w:sz w:val="32"/>
                <w:szCs w:val="32"/>
              </w:rPr>
            </w:pPr>
          </w:p>
        </w:tc>
      </w:tr>
      <w:tr w14:paraId="1B3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5" w:hRule="atLeast"/>
        </w:trPr>
        <w:tc>
          <w:tcPr>
            <w:tcW w:w="1664" w:type="dxa"/>
            <w:tcBorders>
              <w:top w:val="single" w:color="auto" w:sz="4" w:space="0"/>
              <w:left w:val="single" w:color="auto" w:sz="4" w:space="0"/>
              <w:bottom w:val="single" w:color="auto" w:sz="4" w:space="0"/>
              <w:right w:val="single" w:color="auto" w:sz="4" w:space="0"/>
            </w:tcBorders>
            <w:vAlign w:val="center"/>
          </w:tcPr>
          <w:p w14:paraId="021F7E0C">
            <w:pPr>
              <w:spacing w:line="56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申请复核原因</w:t>
            </w:r>
          </w:p>
        </w:tc>
        <w:tc>
          <w:tcPr>
            <w:tcW w:w="7636" w:type="dxa"/>
            <w:gridSpan w:val="3"/>
            <w:tcBorders>
              <w:top w:val="single" w:color="auto" w:sz="4" w:space="0"/>
              <w:left w:val="single" w:color="auto" w:sz="4" w:space="0"/>
              <w:bottom w:val="single" w:color="auto" w:sz="4" w:space="0"/>
              <w:right w:val="single" w:color="auto" w:sz="4" w:space="0"/>
            </w:tcBorders>
            <w:vAlign w:val="center"/>
          </w:tcPr>
          <w:p w14:paraId="0D33405E">
            <w:pPr>
              <w:spacing w:line="560" w:lineRule="exact"/>
              <w:ind w:firstLine="643" w:firstLineChars="200"/>
              <w:jc w:val="center"/>
              <w:rPr>
                <w:rFonts w:hint="eastAsia" w:ascii="仿宋_GB2312" w:hAnsi="仿宋_GB2312" w:eastAsia="仿宋_GB2312" w:cs="仿宋_GB2312"/>
                <w:b/>
                <w:color w:val="auto"/>
                <w:sz w:val="32"/>
                <w:szCs w:val="32"/>
              </w:rPr>
            </w:pPr>
          </w:p>
          <w:p w14:paraId="02391DDC">
            <w:pPr>
              <w:spacing w:line="560" w:lineRule="exact"/>
              <w:ind w:firstLine="643" w:firstLineChars="200"/>
              <w:jc w:val="center"/>
              <w:rPr>
                <w:rFonts w:hint="eastAsia" w:ascii="仿宋_GB2312" w:hAnsi="仿宋_GB2312" w:eastAsia="仿宋_GB2312" w:cs="仿宋_GB2312"/>
                <w:b/>
                <w:color w:val="auto"/>
                <w:sz w:val="32"/>
                <w:szCs w:val="32"/>
              </w:rPr>
            </w:pPr>
          </w:p>
          <w:p w14:paraId="643B44DF">
            <w:pPr>
              <w:spacing w:line="560" w:lineRule="exact"/>
              <w:ind w:firstLine="643" w:firstLineChars="200"/>
              <w:jc w:val="center"/>
              <w:rPr>
                <w:rFonts w:hint="eastAsia" w:ascii="仿宋_GB2312" w:hAnsi="仿宋_GB2312" w:eastAsia="仿宋_GB2312" w:cs="仿宋_GB2312"/>
                <w:b/>
                <w:color w:val="auto"/>
                <w:sz w:val="32"/>
                <w:szCs w:val="32"/>
              </w:rPr>
            </w:pPr>
          </w:p>
          <w:p w14:paraId="50CE064B">
            <w:pPr>
              <w:spacing w:line="560" w:lineRule="exact"/>
              <w:ind w:firstLine="643" w:firstLineChars="200"/>
              <w:jc w:val="center"/>
              <w:rPr>
                <w:rFonts w:hint="eastAsia" w:ascii="仿宋_GB2312" w:hAnsi="仿宋_GB2312" w:eastAsia="仿宋_GB2312" w:cs="仿宋_GB2312"/>
                <w:b/>
                <w:color w:val="auto"/>
                <w:sz w:val="32"/>
                <w:szCs w:val="32"/>
              </w:rPr>
            </w:pPr>
          </w:p>
          <w:p w14:paraId="0AD448AF">
            <w:pPr>
              <w:spacing w:line="560" w:lineRule="exact"/>
              <w:ind w:firstLine="643" w:firstLineChars="200"/>
              <w:jc w:val="center"/>
              <w:rPr>
                <w:rFonts w:hint="eastAsia" w:ascii="仿宋_GB2312" w:hAnsi="仿宋_GB2312" w:eastAsia="仿宋_GB2312" w:cs="仿宋_GB2312"/>
                <w:b/>
                <w:color w:val="auto"/>
                <w:sz w:val="32"/>
                <w:szCs w:val="32"/>
              </w:rPr>
            </w:pPr>
          </w:p>
          <w:p w14:paraId="0CF52876">
            <w:pPr>
              <w:spacing w:line="560" w:lineRule="exact"/>
              <w:ind w:firstLine="643" w:firstLineChars="200"/>
              <w:jc w:val="center"/>
              <w:rPr>
                <w:rFonts w:hint="eastAsia" w:ascii="仿宋_GB2312" w:hAnsi="仿宋_GB2312" w:eastAsia="仿宋_GB2312" w:cs="仿宋_GB2312"/>
                <w:b/>
                <w:color w:val="auto"/>
                <w:sz w:val="32"/>
                <w:szCs w:val="32"/>
              </w:rPr>
            </w:pPr>
          </w:p>
          <w:p w14:paraId="341DE3E6">
            <w:pPr>
              <w:spacing w:line="560" w:lineRule="exact"/>
              <w:ind w:firstLine="643" w:firstLineChars="200"/>
              <w:jc w:val="center"/>
              <w:rPr>
                <w:rFonts w:hint="eastAsia" w:ascii="仿宋_GB2312" w:hAnsi="仿宋_GB2312" w:eastAsia="仿宋_GB2312" w:cs="仿宋_GB2312"/>
                <w:b/>
                <w:color w:val="auto"/>
                <w:sz w:val="32"/>
                <w:szCs w:val="32"/>
              </w:rPr>
            </w:pPr>
          </w:p>
          <w:p w14:paraId="79BCCEC2">
            <w:pPr>
              <w:spacing w:line="560" w:lineRule="exact"/>
              <w:ind w:firstLine="643" w:firstLineChars="200"/>
              <w:jc w:val="center"/>
              <w:rPr>
                <w:rFonts w:hint="eastAsia" w:ascii="仿宋_GB2312" w:hAnsi="仿宋_GB2312" w:eastAsia="仿宋_GB2312" w:cs="仿宋_GB2312"/>
                <w:b/>
                <w:color w:val="auto"/>
                <w:sz w:val="32"/>
                <w:szCs w:val="32"/>
              </w:rPr>
            </w:pPr>
          </w:p>
          <w:p w14:paraId="5B54F15F">
            <w:pPr>
              <w:spacing w:line="560" w:lineRule="exact"/>
              <w:ind w:firstLine="643" w:firstLineChars="200"/>
              <w:jc w:val="center"/>
              <w:rPr>
                <w:rFonts w:hint="eastAsia" w:ascii="仿宋_GB2312" w:hAnsi="仿宋_GB2312" w:eastAsia="仿宋_GB2312" w:cs="仿宋_GB2312"/>
                <w:b/>
                <w:color w:val="auto"/>
                <w:sz w:val="32"/>
                <w:szCs w:val="32"/>
              </w:rPr>
            </w:pPr>
          </w:p>
          <w:p w14:paraId="64BC9DF4">
            <w:pPr>
              <w:spacing w:line="560" w:lineRule="exact"/>
              <w:ind w:firstLine="643" w:firstLineChars="200"/>
              <w:jc w:val="center"/>
              <w:rPr>
                <w:rFonts w:hint="eastAsia" w:ascii="仿宋_GB2312" w:hAnsi="仿宋_GB2312" w:eastAsia="仿宋_GB2312" w:cs="仿宋_GB2312"/>
                <w:b/>
                <w:color w:val="auto"/>
                <w:sz w:val="32"/>
                <w:szCs w:val="32"/>
              </w:rPr>
            </w:pPr>
          </w:p>
          <w:p w14:paraId="33048EAE">
            <w:pPr>
              <w:spacing w:line="560" w:lineRule="exact"/>
              <w:ind w:firstLine="4819" w:firstLineChars="15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申请人：</w:t>
            </w:r>
          </w:p>
          <w:p w14:paraId="50E27869">
            <w:pPr>
              <w:spacing w:line="560" w:lineRule="exact"/>
              <w:ind w:firstLine="4498" w:firstLineChars="14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年   月   日</w:t>
            </w:r>
          </w:p>
        </w:tc>
      </w:tr>
    </w:tbl>
    <w:p w14:paraId="462447EB">
      <w:pPr>
        <w:widowControl/>
        <w:spacing w:line="560" w:lineRule="exac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附件3</w:t>
      </w:r>
    </w:p>
    <w:p w14:paraId="78E7E38D">
      <w:pPr>
        <w:widowControl/>
        <w:spacing w:line="560" w:lineRule="exact"/>
        <w:ind w:firstLine="880"/>
        <w:jc w:val="center"/>
        <w:rPr>
          <w:rFonts w:hint="eastAsia" w:ascii="仿宋_GB2312" w:hAnsi="仿宋_GB2312" w:eastAsia="仿宋_GB2312" w:cs="仿宋_GB2312"/>
          <w:b/>
          <w:color w:val="auto"/>
          <w:sz w:val="32"/>
          <w:szCs w:val="32"/>
        </w:rPr>
      </w:pPr>
      <w:r>
        <w:rPr>
          <w:rFonts w:hint="eastAsia" w:ascii="方正小标宋简体" w:hAnsi="方正小标宋简体" w:eastAsia="方正小标宋简体" w:cs="方正小标宋简体"/>
          <w:bCs/>
          <w:color w:val="auto"/>
          <w:sz w:val="44"/>
          <w:szCs w:val="44"/>
        </w:rPr>
        <w:t>诚信考试承诺书</w:t>
      </w:r>
    </w:p>
    <w:p w14:paraId="7311889D">
      <w:pPr>
        <w:widowControl/>
        <w:spacing w:line="560" w:lineRule="exact"/>
        <w:ind w:firstLine="643" w:firstLineChars="200"/>
        <w:rPr>
          <w:rFonts w:hint="eastAsia" w:ascii="仿宋_GB2312" w:hAnsi="仿宋_GB2312" w:eastAsia="仿宋_GB2312" w:cs="仿宋_GB2312"/>
          <w:b/>
          <w:color w:val="auto"/>
          <w:kern w:val="0"/>
          <w:sz w:val="32"/>
          <w:szCs w:val="32"/>
        </w:rPr>
      </w:pPr>
    </w:p>
    <w:p w14:paraId="02B2DA90">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我报名参加泰山学院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年普通高等教育专升本专业综合能力测试，我承诺： </w:t>
      </w:r>
    </w:p>
    <w:p w14:paraId="22776C9A">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我符合</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年普通高等教育专升本自荐考生的报考条件，本人在报名时提供的信息真实、准确，如有虚假信息和违规行为，本人承担由此而产生的一切后果。 </w:t>
      </w:r>
    </w:p>
    <w:p w14:paraId="5A8E22D1">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我保证在考试中自觉遵守、严格执行泰山学院</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 xml:space="preserve">年普通高等教育专升本专业综合能力测试各项规定，遵守考场纪律，服从考试工作人员管理，诚信应考，不作弊，不在他人协助下完成考试。 </w:t>
      </w:r>
    </w:p>
    <w:p w14:paraId="19DA98B9">
      <w:pPr>
        <w:widowControl/>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我已认真阅读、知晓《国家教育考试违规处理办法》（教育部33号令）、《中华人民共和国刑法修正案（九）》《最高人民法院、最高人民检察院关于办理组织考试作弊等刑事案件适用法律若干问题的解释》等有关法律法规，并知晓本校对于普通专升本违纪作弊考生的处分规定，如有违纪作弊愿按照规定接受处理。 </w:t>
      </w:r>
    </w:p>
    <w:p w14:paraId="7221C127">
      <w:pPr>
        <w:widowControl/>
        <w:spacing w:line="560" w:lineRule="exact"/>
        <w:ind w:firstLine="640" w:firstLineChars="200"/>
        <w:rPr>
          <w:rFonts w:hint="eastAsia" w:ascii="仿宋_GB2312" w:hAnsi="仿宋_GB2312" w:eastAsia="仿宋_GB2312" w:cs="仿宋_GB2312"/>
          <w:color w:val="auto"/>
          <w:kern w:val="0"/>
          <w:sz w:val="32"/>
          <w:szCs w:val="32"/>
        </w:rPr>
      </w:pPr>
    </w:p>
    <w:p w14:paraId="13FBEE1B">
      <w:pPr>
        <w:widowControl/>
        <w:spacing w:line="560" w:lineRule="exact"/>
        <w:ind w:firstLine="640" w:firstLineChars="200"/>
        <w:rPr>
          <w:rFonts w:hint="eastAsia" w:ascii="仿宋_GB2312" w:hAnsi="仿宋_GB2312" w:eastAsia="仿宋_GB2312" w:cs="仿宋_GB2312"/>
          <w:color w:val="auto"/>
          <w:kern w:val="0"/>
          <w:sz w:val="32"/>
          <w:szCs w:val="32"/>
        </w:rPr>
      </w:pPr>
    </w:p>
    <w:p w14:paraId="42EA3BE1">
      <w:pPr>
        <w:widowControl/>
        <w:spacing w:line="560" w:lineRule="exact"/>
        <w:ind w:firstLine="640" w:firstLineChars="200"/>
        <w:rPr>
          <w:rFonts w:hint="eastAsia" w:ascii="仿宋_GB2312" w:hAnsi="仿宋_GB2312" w:eastAsia="仿宋_GB2312" w:cs="仿宋_GB2312"/>
          <w:color w:val="auto"/>
          <w:kern w:val="0"/>
          <w:sz w:val="32"/>
          <w:szCs w:val="32"/>
        </w:rPr>
      </w:pPr>
    </w:p>
    <w:p w14:paraId="2F07F7D0">
      <w:pPr>
        <w:widowControl/>
        <w:spacing w:line="560" w:lineRule="exact"/>
        <w:ind w:firstLine="6746" w:firstLineChars="21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 xml:space="preserve">承诺人： </w:t>
      </w:r>
    </w:p>
    <w:p w14:paraId="60B33448">
      <w:pPr>
        <w:widowControl/>
        <w:spacing w:line="560" w:lineRule="exact"/>
        <w:ind w:firstLine="6746" w:firstLineChars="2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年  月  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3308128"/>
    </w:sdtPr>
    <w:sdtContent>
      <w:p w14:paraId="19AF7D9B">
        <w:pPr>
          <w:pStyle w:val="4"/>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14:paraId="7C725DD3">
    <w:pPr>
      <w:pStyle w:val="4"/>
      <w:ind w:firstLine="360"/>
    </w:pPr>
  </w:p>
  <w:p w14:paraId="316479A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FD428"/>
    <w:multiLevelType w:val="singleLevel"/>
    <w:tmpl w:val="59AFD42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lNDFlYTk4YzgzOWYyMTg1MWVmMGNjMDdjNmMxZjAifQ=="/>
  </w:docVars>
  <w:rsids>
    <w:rsidRoot w:val="00FA2C9B"/>
    <w:rsid w:val="0002768B"/>
    <w:rsid w:val="00043144"/>
    <w:rsid w:val="00046379"/>
    <w:rsid w:val="00067647"/>
    <w:rsid w:val="000800D9"/>
    <w:rsid w:val="0008527B"/>
    <w:rsid w:val="000A158E"/>
    <w:rsid w:val="000A2628"/>
    <w:rsid w:val="000B54F9"/>
    <w:rsid w:val="000B55C0"/>
    <w:rsid w:val="000D60CF"/>
    <w:rsid w:val="000D6E33"/>
    <w:rsid w:val="000E0045"/>
    <w:rsid w:val="000F349E"/>
    <w:rsid w:val="000F7DC1"/>
    <w:rsid w:val="0010084F"/>
    <w:rsid w:val="00100AB5"/>
    <w:rsid w:val="00115423"/>
    <w:rsid w:val="0011712E"/>
    <w:rsid w:val="00123C53"/>
    <w:rsid w:val="00146200"/>
    <w:rsid w:val="00151011"/>
    <w:rsid w:val="001757C2"/>
    <w:rsid w:val="001768EA"/>
    <w:rsid w:val="00190E05"/>
    <w:rsid w:val="00191123"/>
    <w:rsid w:val="00193A55"/>
    <w:rsid w:val="00194D6C"/>
    <w:rsid w:val="001A0D2A"/>
    <w:rsid w:val="001B3D2F"/>
    <w:rsid w:val="001B4F01"/>
    <w:rsid w:val="001B5CB1"/>
    <w:rsid w:val="001C4815"/>
    <w:rsid w:val="001E0B48"/>
    <w:rsid w:val="001F06DF"/>
    <w:rsid w:val="00207512"/>
    <w:rsid w:val="00221ACF"/>
    <w:rsid w:val="00221DE7"/>
    <w:rsid w:val="00222201"/>
    <w:rsid w:val="0022322A"/>
    <w:rsid w:val="00226765"/>
    <w:rsid w:val="00231EC5"/>
    <w:rsid w:val="002578D7"/>
    <w:rsid w:val="002723D3"/>
    <w:rsid w:val="00273742"/>
    <w:rsid w:val="00290EFB"/>
    <w:rsid w:val="0029126A"/>
    <w:rsid w:val="002A0F18"/>
    <w:rsid w:val="002A2FED"/>
    <w:rsid w:val="002B301E"/>
    <w:rsid w:val="002C3BED"/>
    <w:rsid w:val="002C4E13"/>
    <w:rsid w:val="002C53F0"/>
    <w:rsid w:val="002C5BA0"/>
    <w:rsid w:val="002D45BE"/>
    <w:rsid w:val="002D656A"/>
    <w:rsid w:val="002F375C"/>
    <w:rsid w:val="0030510E"/>
    <w:rsid w:val="00307BE5"/>
    <w:rsid w:val="003119BD"/>
    <w:rsid w:val="003164C8"/>
    <w:rsid w:val="0033574E"/>
    <w:rsid w:val="003379EA"/>
    <w:rsid w:val="0034295A"/>
    <w:rsid w:val="003466E8"/>
    <w:rsid w:val="00346EB5"/>
    <w:rsid w:val="0035672C"/>
    <w:rsid w:val="00360C71"/>
    <w:rsid w:val="003650B6"/>
    <w:rsid w:val="0036670D"/>
    <w:rsid w:val="0036704A"/>
    <w:rsid w:val="003718A7"/>
    <w:rsid w:val="00386C09"/>
    <w:rsid w:val="00390C56"/>
    <w:rsid w:val="00397B47"/>
    <w:rsid w:val="003A0082"/>
    <w:rsid w:val="003A7136"/>
    <w:rsid w:val="003A77E0"/>
    <w:rsid w:val="003B036C"/>
    <w:rsid w:val="003D3057"/>
    <w:rsid w:val="003D490F"/>
    <w:rsid w:val="003E70B7"/>
    <w:rsid w:val="0040002C"/>
    <w:rsid w:val="00406D75"/>
    <w:rsid w:val="004126E7"/>
    <w:rsid w:val="00432311"/>
    <w:rsid w:val="004435D1"/>
    <w:rsid w:val="00450CED"/>
    <w:rsid w:val="00472AE6"/>
    <w:rsid w:val="00474449"/>
    <w:rsid w:val="00485D3A"/>
    <w:rsid w:val="004924F0"/>
    <w:rsid w:val="00493FB1"/>
    <w:rsid w:val="00497750"/>
    <w:rsid w:val="004B79FC"/>
    <w:rsid w:val="004C2697"/>
    <w:rsid w:val="004C614C"/>
    <w:rsid w:val="0050261C"/>
    <w:rsid w:val="0050699E"/>
    <w:rsid w:val="005317F7"/>
    <w:rsid w:val="00534A04"/>
    <w:rsid w:val="00543B51"/>
    <w:rsid w:val="00550BBA"/>
    <w:rsid w:val="00562439"/>
    <w:rsid w:val="005713E7"/>
    <w:rsid w:val="005731FA"/>
    <w:rsid w:val="00575653"/>
    <w:rsid w:val="00575D46"/>
    <w:rsid w:val="005774CA"/>
    <w:rsid w:val="00581EA1"/>
    <w:rsid w:val="0058496A"/>
    <w:rsid w:val="00584FE8"/>
    <w:rsid w:val="005933BE"/>
    <w:rsid w:val="005A002B"/>
    <w:rsid w:val="005A782B"/>
    <w:rsid w:val="005F6D05"/>
    <w:rsid w:val="00607A73"/>
    <w:rsid w:val="00612C4C"/>
    <w:rsid w:val="006231F3"/>
    <w:rsid w:val="00633119"/>
    <w:rsid w:val="00636F93"/>
    <w:rsid w:val="00642EB4"/>
    <w:rsid w:val="00646608"/>
    <w:rsid w:val="00654F70"/>
    <w:rsid w:val="0065547A"/>
    <w:rsid w:val="00656FD5"/>
    <w:rsid w:val="00657AA0"/>
    <w:rsid w:val="00660772"/>
    <w:rsid w:val="0068554F"/>
    <w:rsid w:val="0068736F"/>
    <w:rsid w:val="006924DD"/>
    <w:rsid w:val="00696007"/>
    <w:rsid w:val="00697692"/>
    <w:rsid w:val="00697CA9"/>
    <w:rsid w:val="006A6ECA"/>
    <w:rsid w:val="006B747A"/>
    <w:rsid w:val="006C785A"/>
    <w:rsid w:val="006D1224"/>
    <w:rsid w:val="006E175F"/>
    <w:rsid w:val="006F001C"/>
    <w:rsid w:val="006F2C3E"/>
    <w:rsid w:val="00706A70"/>
    <w:rsid w:val="0074360C"/>
    <w:rsid w:val="007443D1"/>
    <w:rsid w:val="00751E8B"/>
    <w:rsid w:val="007569C1"/>
    <w:rsid w:val="00760C02"/>
    <w:rsid w:val="00782187"/>
    <w:rsid w:val="007A45E0"/>
    <w:rsid w:val="007B0645"/>
    <w:rsid w:val="007B6C1F"/>
    <w:rsid w:val="007C1DCC"/>
    <w:rsid w:val="007C2CE0"/>
    <w:rsid w:val="007F0367"/>
    <w:rsid w:val="007F20C3"/>
    <w:rsid w:val="007F53A8"/>
    <w:rsid w:val="00824B12"/>
    <w:rsid w:val="00826C6E"/>
    <w:rsid w:val="008415F4"/>
    <w:rsid w:val="0084173D"/>
    <w:rsid w:val="008669A7"/>
    <w:rsid w:val="00875CAF"/>
    <w:rsid w:val="00881BCF"/>
    <w:rsid w:val="00890488"/>
    <w:rsid w:val="008A63F2"/>
    <w:rsid w:val="008B05B6"/>
    <w:rsid w:val="008C7EFE"/>
    <w:rsid w:val="008D0004"/>
    <w:rsid w:val="008D65BA"/>
    <w:rsid w:val="008E029C"/>
    <w:rsid w:val="008F49DD"/>
    <w:rsid w:val="008F6C6A"/>
    <w:rsid w:val="009029AB"/>
    <w:rsid w:val="00911156"/>
    <w:rsid w:val="00924D18"/>
    <w:rsid w:val="00934F9D"/>
    <w:rsid w:val="009363D2"/>
    <w:rsid w:val="009509AC"/>
    <w:rsid w:val="00957FFE"/>
    <w:rsid w:val="00966030"/>
    <w:rsid w:val="00970900"/>
    <w:rsid w:val="0097457F"/>
    <w:rsid w:val="009A188C"/>
    <w:rsid w:val="009A45F4"/>
    <w:rsid w:val="009B72D7"/>
    <w:rsid w:val="009C2331"/>
    <w:rsid w:val="009D13D5"/>
    <w:rsid w:val="009D25B6"/>
    <w:rsid w:val="009D3D08"/>
    <w:rsid w:val="009E34CA"/>
    <w:rsid w:val="009F2FBE"/>
    <w:rsid w:val="009F4EFC"/>
    <w:rsid w:val="009F6D1D"/>
    <w:rsid w:val="00A110F0"/>
    <w:rsid w:val="00A163D7"/>
    <w:rsid w:val="00A32AE8"/>
    <w:rsid w:val="00A34EB7"/>
    <w:rsid w:val="00A351B6"/>
    <w:rsid w:val="00A37289"/>
    <w:rsid w:val="00A419D6"/>
    <w:rsid w:val="00A527DA"/>
    <w:rsid w:val="00A6388B"/>
    <w:rsid w:val="00A76D91"/>
    <w:rsid w:val="00A822A1"/>
    <w:rsid w:val="00A84704"/>
    <w:rsid w:val="00A86247"/>
    <w:rsid w:val="00A91BB8"/>
    <w:rsid w:val="00A92BC5"/>
    <w:rsid w:val="00A973E0"/>
    <w:rsid w:val="00AA11D9"/>
    <w:rsid w:val="00AB14C9"/>
    <w:rsid w:val="00AB3D60"/>
    <w:rsid w:val="00AD4EC9"/>
    <w:rsid w:val="00AE6C76"/>
    <w:rsid w:val="00B059F8"/>
    <w:rsid w:val="00B140FC"/>
    <w:rsid w:val="00B22172"/>
    <w:rsid w:val="00B64C51"/>
    <w:rsid w:val="00B80A2F"/>
    <w:rsid w:val="00BB66DF"/>
    <w:rsid w:val="00BB7AE6"/>
    <w:rsid w:val="00BC1F56"/>
    <w:rsid w:val="00BD6536"/>
    <w:rsid w:val="00C26B7A"/>
    <w:rsid w:val="00C316F9"/>
    <w:rsid w:val="00C332C6"/>
    <w:rsid w:val="00C37254"/>
    <w:rsid w:val="00C41718"/>
    <w:rsid w:val="00C53EAE"/>
    <w:rsid w:val="00C64E66"/>
    <w:rsid w:val="00C65DCE"/>
    <w:rsid w:val="00C70C20"/>
    <w:rsid w:val="00C757AD"/>
    <w:rsid w:val="00C8217F"/>
    <w:rsid w:val="00C82524"/>
    <w:rsid w:val="00CA1FA1"/>
    <w:rsid w:val="00CB418B"/>
    <w:rsid w:val="00CC3631"/>
    <w:rsid w:val="00CC6F7B"/>
    <w:rsid w:val="00CD5113"/>
    <w:rsid w:val="00CE49DA"/>
    <w:rsid w:val="00CE74DB"/>
    <w:rsid w:val="00D005AC"/>
    <w:rsid w:val="00D005BF"/>
    <w:rsid w:val="00D04DB9"/>
    <w:rsid w:val="00D12C84"/>
    <w:rsid w:val="00D167F6"/>
    <w:rsid w:val="00D20CC5"/>
    <w:rsid w:val="00D220B7"/>
    <w:rsid w:val="00D251C9"/>
    <w:rsid w:val="00D269BA"/>
    <w:rsid w:val="00D31912"/>
    <w:rsid w:val="00D33846"/>
    <w:rsid w:val="00D4487B"/>
    <w:rsid w:val="00D60030"/>
    <w:rsid w:val="00D61AFC"/>
    <w:rsid w:val="00D65648"/>
    <w:rsid w:val="00D7636E"/>
    <w:rsid w:val="00D768A8"/>
    <w:rsid w:val="00D7772A"/>
    <w:rsid w:val="00D779B2"/>
    <w:rsid w:val="00D77BCB"/>
    <w:rsid w:val="00D84D33"/>
    <w:rsid w:val="00DB7BD7"/>
    <w:rsid w:val="00DC655F"/>
    <w:rsid w:val="00DC6AD3"/>
    <w:rsid w:val="00DD2B16"/>
    <w:rsid w:val="00DD2BC2"/>
    <w:rsid w:val="00DD6EA9"/>
    <w:rsid w:val="00DE5747"/>
    <w:rsid w:val="00E0129A"/>
    <w:rsid w:val="00E138AE"/>
    <w:rsid w:val="00E511B3"/>
    <w:rsid w:val="00E55405"/>
    <w:rsid w:val="00E602CB"/>
    <w:rsid w:val="00E7325C"/>
    <w:rsid w:val="00E91389"/>
    <w:rsid w:val="00EB0C20"/>
    <w:rsid w:val="00EC65EA"/>
    <w:rsid w:val="00ED7A1D"/>
    <w:rsid w:val="00EE565F"/>
    <w:rsid w:val="00EF6B3A"/>
    <w:rsid w:val="00EF7121"/>
    <w:rsid w:val="00F34714"/>
    <w:rsid w:val="00F53DED"/>
    <w:rsid w:val="00F53E70"/>
    <w:rsid w:val="00F82354"/>
    <w:rsid w:val="00F91D8C"/>
    <w:rsid w:val="00F970DF"/>
    <w:rsid w:val="00FA1676"/>
    <w:rsid w:val="00FA2C9B"/>
    <w:rsid w:val="00FD08D2"/>
    <w:rsid w:val="00FF0C16"/>
    <w:rsid w:val="00FF631E"/>
    <w:rsid w:val="010935E2"/>
    <w:rsid w:val="01515E1B"/>
    <w:rsid w:val="01C40DDD"/>
    <w:rsid w:val="02BD239A"/>
    <w:rsid w:val="02DE5ECF"/>
    <w:rsid w:val="02FE0EF3"/>
    <w:rsid w:val="03AA2FE2"/>
    <w:rsid w:val="04146D82"/>
    <w:rsid w:val="043002CD"/>
    <w:rsid w:val="04D97184"/>
    <w:rsid w:val="051E0804"/>
    <w:rsid w:val="05E854E8"/>
    <w:rsid w:val="0621607B"/>
    <w:rsid w:val="06A9590E"/>
    <w:rsid w:val="06B75798"/>
    <w:rsid w:val="07092259"/>
    <w:rsid w:val="080A0B4A"/>
    <w:rsid w:val="08596764"/>
    <w:rsid w:val="08E12BEF"/>
    <w:rsid w:val="09181A0E"/>
    <w:rsid w:val="0929309C"/>
    <w:rsid w:val="09410F65"/>
    <w:rsid w:val="09A862F0"/>
    <w:rsid w:val="09C000DC"/>
    <w:rsid w:val="0A0A75A9"/>
    <w:rsid w:val="0B1C57E6"/>
    <w:rsid w:val="0B2B4ACB"/>
    <w:rsid w:val="0C503F6C"/>
    <w:rsid w:val="0E320E7D"/>
    <w:rsid w:val="0ED71602"/>
    <w:rsid w:val="0EF26F6A"/>
    <w:rsid w:val="0FBC30F4"/>
    <w:rsid w:val="10480E2B"/>
    <w:rsid w:val="12274A70"/>
    <w:rsid w:val="12372F05"/>
    <w:rsid w:val="12705737"/>
    <w:rsid w:val="13E7095B"/>
    <w:rsid w:val="15AE7982"/>
    <w:rsid w:val="16E93113"/>
    <w:rsid w:val="16ED1BE3"/>
    <w:rsid w:val="17005FBC"/>
    <w:rsid w:val="173568F1"/>
    <w:rsid w:val="17797B1C"/>
    <w:rsid w:val="18932E60"/>
    <w:rsid w:val="190B6E9A"/>
    <w:rsid w:val="19890E2D"/>
    <w:rsid w:val="19D67B51"/>
    <w:rsid w:val="1B281F85"/>
    <w:rsid w:val="1B3F2E2B"/>
    <w:rsid w:val="1B7C7BDB"/>
    <w:rsid w:val="1C624C5C"/>
    <w:rsid w:val="1CF22B5C"/>
    <w:rsid w:val="1DCE51F8"/>
    <w:rsid w:val="1E6A4663"/>
    <w:rsid w:val="1E817CA6"/>
    <w:rsid w:val="1E9516DF"/>
    <w:rsid w:val="1EDD4E34"/>
    <w:rsid w:val="1F1A1BE5"/>
    <w:rsid w:val="20020FF7"/>
    <w:rsid w:val="20C00D4B"/>
    <w:rsid w:val="21935C7E"/>
    <w:rsid w:val="21BF6635"/>
    <w:rsid w:val="229677D4"/>
    <w:rsid w:val="23C343FB"/>
    <w:rsid w:val="24235575"/>
    <w:rsid w:val="24567F2D"/>
    <w:rsid w:val="248C7FE6"/>
    <w:rsid w:val="255079B7"/>
    <w:rsid w:val="25AE0E9A"/>
    <w:rsid w:val="25AE12D9"/>
    <w:rsid w:val="263952BC"/>
    <w:rsid w:val="26A829EE"/>
    <w:rsid w:val="26BA0029"/>
    <w:rsid w:val="27361586"/>
    <w:rsid w:val="28294671"/>
    <w:rsid w:val="28550131"/>
    <w:rsid w:val="28817A6F"/>
    <w:rsid w:val="2892361C"/>
    <w:rsid w:val="295D79EE"/>
    <w:rsid w:val="2A7F3244"/>
    <w:rsid w:val="2AF27EBA"/>
    <w:rsid w:val="2B466F5D"/>
    <w:rsid w:val="2D2500D2"/>
    <w:rsid w:val="2D442050"/>
    <w:rsid w:val="2DF61A6F"/>
    <w:rsid w:val="2EE44170"/>
    <w:rsid w:val="2F2C7CE9"/>
    <w:rsid w:val="2FC551EF"/>
    <w:rsid w:val="306F06A2"/>
    <w:rsid w:val="313D33E3"/>
    <w:rsid w:val="3187717E"/>
    <w:rsid w:val="31F42769"/>
    <w:rsid w:val="321D3A6E"/>
    <w:rsid w:val="32C42427"/>
    <w:rsid w:val="32C739DA"/>
    <w:rsid w:val="33C346B6"/>
    <w:rsid w:val="3402116D"/>
    <w:rsid w:val="344474E7"/>
    <w:rsid w:val="344D54E4"/>
    <w:rsid w:val="34CB2661"/>
    <w:rsid w:val="3513534B"/>
    <w:rsid w:val="35350126"/>
    <w:rsid w:val="359A0AF7"/>
    <w:rsid w:val="35A70269"/>
    <w:rsid w:val="363A6389"/>
    <w:rsid w:val="36DF7544"/>
    <w:rsid w:val="36F304BB"/>
    <w:rsid w:val="370C2C56"/>
    <w:rsid w:val="373652B7"/>
    <w:rsid w:val="37A12A4B"/>
    <w:rsid w:val="37A83DDA"/>
    <w:rsid w:val="37F94635"/>
    <w:rsid w:val="382D42DF"/>
    <w:rsid w:val="384B2FB2"/>
    <w:rsid w:val="38D155B2"/>
    <w:rsid w:val="39ED1F78"/>
    <w:rsid w:val="3A0177D1"/>
    <w:rsid w:val="3ACD1DA9"/>
    <w:rsid w:val="3ADE3AFB"/>
    <w:rsid w:val="3BEE61FC"/>
    <w:rsid w:val="3DDB349C"/>
    <w:rsid w:val="3DE2650C"/>
    <w:rsid w:val="3F5673C2"/>
    <w:rsid w:val="3F9D5862"/>
    <w:rsid w:val="3FD55988"/>
    <w:rsid w:val="4114428E"/>
    <w:rsid w:val="42B279CF"/>
    <w:rsid w:val="42B75819"/>
    <w:rsid w:val="43236A0A"/>
    <w:rsid w:val="43581FBB"/>
    <w:rsid w:val="436D181B"/>
    <w:rsid w:val="44B6499C"/>
    <w:rsid w:val="450F36EA"/>
    <w:rsid w:val="45DF7C2B"/>
    <w:rsid w:val="4630569A"/>
    <w:rsid w:val="46386C71"/>
    <w:rsid w:val="46560EA5"/>
    <w:rsid w:val="46CF372D"/>
    <w:rsid w:val="473016F6"/>
    <w:rsid w:val="475E643B"/>
    <w:rsid w:val="477D2293"/>
    <w:rsid w:val="478B2DD0"/>
    <w:rsid w:val="479A3013"/>
    <w:rsid w:val="47AE5ADE"/>
    <w:rsid w:val="4880045B"/>
    <w:rsid w:val="48B51D2D"/>
    <w:rsid w:val="4953791E"/>
    <w:rsid w:val="49E22A33"/>
    <w:rsid w:val="4A3E05CE"/>
    <w:rsid w:val="4B2C0426"/>
    <w:rsid w:val="4C0048A3"/>
    <w:rsid w:val="4D730F86"/>
    <w:rsid w:val="4DD70B1D"/>
    <w:rsid w:val="4E200716"/>
    <w:rsid w:val="4ED92673"/>
    <w:rsid w:val="4F253B0A"/>
    <w:rsid w:val="4FA65C1D"/>
    <w:rsid w:val="506863A4"/>
    <w:rsid w:val="51645B78"/>
    <w:rsid w:val="51F223CA"/>
    <w:rsid w:val="52B14033"/>
    <w:rsid w:val="5387030B"/>
    <w:rsid w:val="543D5452"/>
    <w:rsid w:val="55F47A7B"/>
    <w:rsid w:val="56D06492"/>
    <w:rsid w:val="57081D47"/>
    <w:rsid w:val="57154464"/>
    <w:rsid w:val="571E77BD"/>
    <w:rsid w:val="57E4175F"/>
    <w:rsid w:val="586D4BB3"/>
    <w:rsid w:val="58B00029"/>
    <w:rsid w:val="59044790"/>
    <w:rsid w:val="59465FF6"/>
    <w:rsid w:val="59DD04A3"/>
    <w:rsid w:val="5AED1980"/>
    <w:rsid w:val="5B4517BC"/>
    <w:rsid w:val="5B9303FC"/>
    <w:rsid w:val="5BA5750C"/>
    <w:rsid w:val="5C722698"/>
    <w:rsid w:val="5CF67610"/>
    <w:rsid w:val="5D1256CE"/>
    <w:rsid w:val="5DF13055"/>
    <w:rsid w:val="5E532442"/>
    <w:rsid w:val="5E757F93"/>
    <w:rsid w:val="5F117D2A"/>
    <w:rsid w:val="5F13397F"/>
    <w:rsid w:val="5F8A1E93"/>
    <w:rsid w:val="60241A7E"/>
    <w:rsid w:val="60487659"/>
    <w:rsid w:val="60936B26"/>
    <w:rsid w:val="60AA095E"/>
    <w:rsid w:val="61007F33"/>
    <w:rsid w:val="6105554A"/>
    <w:rsid w:val="6166423A"/>
    <w:rsid w:val="61A426DB"/>
    <w:rsid w:val="61A53F94"/>
    <w:rsid w:val="61E74E96"/>
    <w:rsid w:val="62BB2364"/>
    <w:rsid w:val="63312626"/>
    <w:rsid w:val="6398417F"/>
    <w:rsid w:val="642D4911"/>
    <w:rsid w:val="64E8140A"/>
    <w:rsid w:val="65000502"/>
    <w:rsid w:val="659C34FD"/>
    <w:rsid w:val="65BD4645"/>
    <w:rsid w:val="66CF63DE"/>
    <w:rsid w:val="67917B37"/>
    <w:rsid w:val="67E1452E"/>
    <w:rsid w:val="689A2A1B"/>
    <w:rsid w:val="69373991"/>
    <w:rsid w:val="69BF098B"/>
    <w:rsid w:val="69C935B8"/>
    <w:rsid w:val="6A740F89"/>
    <w:rsid w:val="6AF45FA5"/>
    <w:rsid w:val="6B5670CE"/>
    <w:rsid w:val="6B673089"/>
    <w:rsid w:val="6B7E6624"/>
    <w:rsid w:val="6D0B3EE8"/>
    <w:rsid w:val="6D176D30"/>
    <w:rsid w:val="6D3451EC"/>
    <w:rsid w:val="6DEB1CD3"/>
    <w:rsid w:val="6E724D48"/>
    <w:rsid w:val="6ED924EF"/>
    <w:rsid w:val="6EEC0002"/>
    <w:rsid w:val="6F181CC4"/>
    <w:rsid w:val="6F370FC4"/>
    <w:rsid w:val="6F751AEC"/>
    <w:rsid w:val="705F4C76"/>
    <w:rsid w:val="713A6130"/>
    <w:rsid w:val="71C07997"/>
    <w:rsid w:val="71DC5E53"/>
    <w:rsid w:val="728E35F1"/>
    <w:rsid w:val="7355410F"/>
    <w:rsid w:val="735A1725"/>
    <w:rsid w:val="7366449B"/>
    <w:rsid w:val="73CF2113"/>
    <w:rsid w:val="73D64A69"/>
    <w:rsid w:val="740A314B"/>
    <w:rsid w:val="743E1047"/>
    <w:rsid w:val="74A7099A"/>
    <w:rsid w:val="758B5473"/>
    <w:rsid w:val="76067942"/>
    <w:rsid w:val="76773B37"/>
    <w:rsid w:val="768F1979"/>
    <w:rsid w:val="773C7ABF"/>
    <w:rsid w:val="77A67308"/>
    <w:rsid w:val="781C169F"/>
    <w:rsid w:val="782D565A"/>
    <w:rsid w:val="79A858E5"/>
    <w:rsid w:val="7A57076C"/>
    <w:rsid w:val="7A807CC3"/>
    <w:rsid w:val="7B105150"/>
    <w:rsid w:val="7B7B3FDD"/>
    <w:rsid w:val="7C1F350C"/>
    <w:rsid w:val="7C41095D"/>
    <w:rsid w:val="7D1C2952"/>
    <w:rsid w:val="7F0035E0"/>
    <w:rsid w:val="7FBA3C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autoRedefine/>
    <w:semiHidden/>
    <w:unhideWhenUsed/>
    <w:qFormat/>
    <w:uiPriority w:val="99"/>
    <w:pPr>
      <w:ind w:left="100" w:leftChars="2500"/>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Autospacing="1" w:afterAutospacing="1"/>
      <w:jc w:val="left"/>
    </w:pPr>
    <w:rPr>
      <w:rFonts w:cs="Times New Roman"/>
      <w:kern w:val="0"/>
      <w:sz w:val="24"/>
      <w:szCs w:val="24"/>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rPr>
  </w:style>
  <w:style w:type="paragraph" w:styleId="12">
    <w:name w:val="List Paragraph"/>
    <w:basedOn w:val="1"/>
    <w:autoRedefine/>
    <w:qFormat/>
    <w:uiPriority w:val="34"/>
    <w:pPr>
      <w:ind w:firstLine="420" w:firstLineChars="200"/>
    </w:pPr>
  </w:style>
  <w:style w:type="character" w:customStyle="1" w:styleId="13">
    <w:name w:val="页眉 字符"/>
    <w:basedOn w:val="9"/>
    <w:link w:val="5"/>
    <w:autoRedefine/>
    <w:qFormat/>
    <w:uiPriority w:val="99"/>
    <w:rPr>
      <w:sz w:val="18"/>
      <w:szCs w:val="18"/>
    </w:rPr>
  </w:style>
  <w:style w:type="character" w:customStyle="1" w:styleId="14">
    <w:name w:val="页脚 字符"/>
    <w:basedOn w:val="9"/>
    <w:link w:val="4"/>
    <w:autoRedefine/>
    <w:qFormat/>
    <w:uiPriority w:val="99"/>
    <w:rPr>
      <w:sz w:val="18"/>
      <w:szCs w:val="18"/>
    </w:rPr>
  </w:style>
  <w:style w:type="character" w:customStyle="1" w:styleId="15">
    <w:name w:val="wp_visitcount"/>
    <w:basedOn w:val="9"/>
    <w:autoRedefine/>
    <w:qFormat/>
    <w:uiPriority w:val="0"/>
  </w:style>
  <w:style w:type="character" w:customStyle="1" w:styleId="16">
    <w:name w:val="日期 字符"/>
    <w:basedOn w:val="9"/>
    <w:link w:val="2"/>
    <w:autoRedefine/>
    <w:semiHidden/>
    <w:qFormat/>
    <w:uiPriority w:val="99"/>
  </w:style>
  <w:style w:type="character" w:customStyle="1" w:styleId="17">
    <w:name w:val="批注框文本 字符"/>
    <w:basedOn w:val="9"/>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3349</Words>
  <Characters>3630</Characters>
  <Lines>21</Lines>
  <Paragraphs>6</Paragraphs>
  <TotalTime>21</TotalTime>
  <ScaleCrop>false</ScaleCrop>
  <LinksUpToDate>false</LinksUpToDate>
  <CharactersWithSpaces>3792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2025-02-08T04:00:00Z</dcterms:created>
  <dc:creator>Administrator</dc:creator>
  <cp:lastModifiedBy>佑佑</cp:lastModifiedBy>
  <cp:lastPrinted>2026-02-11T02:47:39Z</cp:lastPrinted>
  <dcterms:modified xsi:type="dcterms:W3CDTF">2026-02-11T02:48:54Z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EC5D75C0D81148C1BB9C4975842D184C_13</vt:lpwstr>
  </property>
  <property fmtid="{D5CDD505-2E9C-101B-9397-08002B2CF9AE}" pid="4" name="KSOTemplateDocerSaveRecord">
    <vt:lpwstr>eyJoZGlkIjoiNDEwY2JlNjRhYzBmN2NiNmUxMmI1OTJmNmJhYzE1ZmYiLCJ1c2VySWQiOiIyMzE1NjQ2NTkifQ==</vt:lpwstr>
  </property>
</Properties>
</file>